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3"/>
        <w:bidi w:val="0"/>
        <w:jc w:val="center"/>
        <w:rPr>
          <w:rFonts w:hint="eastAsia"/>
          <w:b/>
          <w:bCs w:val="0"/>
          <w:sz w:val="72"/>
          <w:szCs w:val="72"/>
          <w:lang w:val="en-US" w:eastAsia="zh-CN"/>
        </w:rPr>
      </w:pPr>
      <w:r>
        <w:rPr>
          <w:sz w:val="72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-178435</wp:posOffset>
                </wp:positionH>
                <wp:positionV relativeFrom="paragraph">
                  <wp:posOffset>916305</wp:posOffset>
                </wp:positionV>
                <wp:extent cx="5524500" cy="17780"/>
                <wp:effectExtent l="0" t="4445" r="7620" b="825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0" cy="177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4.05pt;margin-top:72.15pt;height:1.4pt;width:435pt;z-index:251660288;mso-width-relative:page;mso-height-relative:page;" filled="f" stroked="t" coordsize="21600,21600" o:gfxdata="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FrewhvY&#10;AAAACwEAAA8AAAAAAAAAAQAgAAAAIgAAAGRycy9kb3ducmV2LnhtbFBLAQIUABQAAAAIAIdO4kC5&#10;bdVW5wEAAKQDAAAOAAAAAAAAAAEAIAAAACcBAABkcnMvZTJvRG9jLnhtbFBLBQYAAAAABgAGAFkB&#10;AACA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7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788035</wp:posOffset>
                </wp:positionV>
                <wp:extent cx="5524500" cy="17780"/>
                <wp:effectExtent l="0" t="31750" r="7620" b="4191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0" cy="17780"/>
                        </a:xfrm>
                        <a:prstGeom prst="line">
                          <a:avLst/>
                        </a:prstGeom>
                        <a:ln w="635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5pt;margin-top:62.05pt;height:1.4pt;width:435pt;z-index:251659264;mso-width-relative:page;mso-height-relative:page;" filled="f" stroked="t" coordsize="21600,21600" o:gfxdata="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znA2K&#10;2QAAAAsBAAAPAAAAAAAAAAEAIAAAACIAAABkcnMvZG93bnJldi54bWxQSwECFAAUAAAACACHTuJA&#10;StpDAucBAAClAwAADgAAAAAAAAABACAAAAAoAQAAZHJzL2Uyb0RvYy54bWxQSwUGAAAAAAYABgBZ&#10;AQAAgQUAAAAA&#10;">
                <v:fill on="f" focussize="0,0"/>
                <v:stroke weight="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 w:val="0"/>
          <w:sz w:val="72"/>
          <w:szCs w:val="72"/>
          <w:lang w:val="en-US" w:eastAsia="zh-CN"/>
        </w:rPr>
        <w:t>招标工作全流程标准化</w:t>
      </w:r>
    </w:p>
    <w:p>
      <w:pPr>
        <w:rPr>
          <w:rFonts w:hint="eastAsia"/>
          <w:b/>
          <w:bCs w:val="0"/>
          <w:sz w:val="72"/>
          <w:szCs w:val="72"/>
          <w:lang w:val="en-US" w:eastAsia="zh-CN"/>
        </w:rPr>
      </w:pPr>
    </w:p>
    <w:p>
      <w:pPr>
        <w:snapToGrid/>
        <w:spacing w:line="240" w:lineRule="auto"/>
        <w:ind w:firstLine="0"/>
        <w:jc w:val="center"/>
        <w:rPr>
          <w:rFonts w:hint="eastAsia" w:ascii="Calibri" w:hAnsi="Calibri" w:cs="Times New Roman"/>
          <w:kern w:val="2"/>
          <w:sz w:val="44"/>
          <w:szCs w:val="44"/>
          <w:u w:val="none"/>
          <w:lang w:val="en-US" w:eastAsia="zh-CN"/>
        </w:rPr>
      </w:pPr>
    </w:p>
    <w:p>
      <w:pPr>
        <w:snapToGrid/>
        <w:spacing w:line="240" w:lineRule="auto"/>
        <w:ind w:firstLine="0"/>
        <w:jc w:val="center"/>
        <w:rPr>
          <w:rFonts w:hint="default" w:ascii="Calibri" w:hAnsi="Calibri" w:cs="Times New Roman"/>
          <w:kern w:val="2"/>
          <w:sz w:val="44"/>
          <w:szCs w:val="44"/>
          <w:u w:val="none"/>
          <w:lang w:val="en-US" w:eastAsia="zh-CN"/>
        </w:rPr>
      </w:pPr>
      <w:r>
        <w:rPr>
          <w:rFonts w:hint="eastAsia" w:ascii="Calibri" w:hAnsi="Calibri" w:cs="Times New Roman"/>
          <w:kern w:val="2"/>
          <w:sz w:val="44"/>
          <w:szCs w:val="44"/>
          <w:u w:val="none"/>
          <w:lang w:val="en-US" w:eastAsia="zh-CN"/>
        </w:rPr>
        <w:t>最低价法</w:t>
      </w:r>
      <w:r>
        <w:rPr>
          <w:rFonts w:hint="eastAsia" w:ascii="Calibri" w:hAnsi="Calibri" w:cs="Times New Roman"/>
          <w:kern w:val="2"/>
          <w:sz w:val="44"/>
          <w:szCs w:val="44"/>
          <w:u w:val="none"/>
          <w:lang w:eastAsia="zh-CN"/>
        </w:rPr>
        <w:t>招标（竞价）</w:t>
      </w:r>
      <w:r>
        <w:rPr>
          <w:rFonts w:hint="eastAsia" w:ascii="Calibri" w:hAnsi="Calibri" w:cs="Times New Roman"/>
          <w:kern w:val="2"/>
          <w:sz w:val="44"/>
          <w:szCs w:val="44"/>
          <w:u w:val="none"/>
          <w:lang w:val="en-US" w:eastAsia="zh-CN"/>
        </w:rPr>
        <w:t>标准</w:t>
      </w:r>
      <w:r>
        <w:rPr>
          <w:rFonts w:hint="eastAsia" w:ascii="Calibri" w:hAnsi="Calibri" w:cs="Times New Roman"/>
          <w:kern w:val="2"/>
          <w:sz w:val="44"/>
          <w:szCs w:val="44"/>
          <w:u w:val="none"/>
        </w:rPr>
        <w:t>文件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44"/>
          <w:szCs w:val="44"/>
          <w:lang w:val="en-US" w:eastAsia="zh-CN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both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default" w:ascii="宋体" w:hAnsi="宋体" w:eastAsia="宋体" w:cs="黑体"/>
          <w:b/>
          <w:bCs/>
          <w:sz w:val="44"/>
          <w:szCs w:val="44"/>
          <w:lang w:val="zh-TW"/>
        </w:rPr>
      </w:pPr>
    </w:p>
    <w:p>
      <w:pPr>
        <w:pStyle w:val="24"/>
        <w:spacing w:before="100" w:beforeAutospacing="1" w:after="240" w:line="560" w:lineRule="atLeast"/>
        <w:jc w:val="center"/>
        <w:rPr>
          <w:rFonts w:ascii="宋体" w:hAnsi="宋体" w:eastAsia="宋体" w:cs="黑体"/>
          <w:b/>
          <w:bCs/>
          <w:sz w:val="72"/>
          <w:szCs w:val="72"/>
          <w:lang w:val="zh-TW" w:eastAsia="zh-TW"/>
        </w:rPr>
      </w:pPr>
      <w:r>
        <w:rPr>
          <w:rFonts w:hint="eastAsia" w:ascii="宋体" w:hAnsi="宋体" w:eastAsia="宋体" w:cs="黑体"/>
          <w:b/>
          <w:bCs/>
          <w:sz w:val="72"/>
          <w:szCs w:val="72"/>
          <w:lang w:val="zh-TW" w:eastAsia="zh-CN"/>
        </w:rPr>
        <w:t>中国</w:t>
      </w:r>
      <w:r>
        <w:rPr>
          <w:rFonts w:hint="eastAsia" w:ascii="宋体" w:hAnsi="宋体" w:eastAsia="宋体" w:cs="黑体"/>
          <w:b/>
          <w:bCs/>
          <w:sz w:val="72"/>
          <w:szCs w:val="72"/>
          <w:lang w:val="en-US" w:eastAsia="zh-CN"/>
        </w:rPr>
        <w:t>一重集团有限</w:t>
      </w:r>
      <w:r>
        <w:rPr>
          <w:rFonts w:hint="eastAsia" w:ascii="宋体" w:hAnsi="宋体" w:eastAsia="宋体" w:cs="黑体"/>
          <w:b/>
          <w:bCs/>
          <w:sz w:val="72"/>
          <w:szCs w:val="72"/>
          <w:lang w:val="zh-TW" w:eastAsia="zh-CN"/>
        </w:rPr>
        <w:t>公司</w:t>
      </w:r>
    </w:p>
    <w:p>
      <w:pPr>
        <w:pStyle w:val="24"/>
        <w:spacing w:before="100" w:beforeAutospacing="1" w:after="240" w:line="560" w:lineRule="atLeast"/>
        <w:jc w:val="center"/>
        <w:rPr>
          <w:rFonts w:hint="eastAsia" w:ascii="宋体" w:hAnsi="宋体" w:eastAsia="宋体" w:cs="黑体"/>
          <w:b/>
          <w:bCs/>
          <w:sz w:val="72"/>
          <w:szCs w:val="72"/>
          <w:lang w:val="en-US" w:eastAsia="zh-CN"/>
        </w:rPr>
      </w:pPr>
      <w:r>
        <w:rPr>
          <w:rFonts w:hint="eastAsia" w:ascii="宋体" w:hAnsi="宋体" w:eastAsia="宋体" w:cs="黑体"/>
          <w:b/>
          <w:bCs/>
          <w:sz w:val="72"/>
          <w:szCs w:val="72"/>
          <w:lang w:val="en-US" w:eastAsia="zh-CN"/>
        </w:rPr>
        <w:t>最低价法</w:t>
      </w:r>
      <w:r>
        <w:rPr>
          <w:rFonts w:hint="eastAsia" w:ascii="宋体" w:hAnsi="宋体" w:eastAsia="宋体" w:cs="黑体"/>
          <w:b/>
          <w:bCs/>
          <w:sz w:val="72"/>
          <w:szCs w:val="72"/>
          <w:lang w:val="zh-TW" w:eastAsia="zh-CN"/>
        </w:rPr>
        <w:t>招标（竞价）</w:t>
      </w:r>
      <w:r>
        <w:rPr>
          <w:rFonts w:hint="eastAsia" w:ascii="宋体" w:hAnsi="宋体" w:eastAsia="宋体" w:cs="黑体"/>
          <w:b/>
          <w:bCs/>
          <w:sz w:val="72"/>
          <w:szCs w:val="72"/>
          <w:lang w:val="en-US" w:eastAsia="zh-CN"/>
        </w:rPr>
        <w:t>书</w:t>
      </w:r>
    </w:p>
    <w:p>
      <w:pPr>
        <w:pStyle w:val="24"/>
        <w:spacing w:line="560" w:lineRule="atLeast"/>
        <w:rPr>
          <w:rFonts w:hint="default" w:eastAsia="宋体"/>
          <w:b/>
          <w:bCs/>
          <w:sz w:val="36"/>
          <w:szCs w:val="36"/>
        </w:rPr>
      </w:pPr>
    </w:p>
    <w:p>
      <w:pPr>
        <w:pStyle w:val="24"/>
        <w:spacing w:line="560" w:lineRule="atLeast"/>
        <w:rPr>
          <w:rFonts w:hint="default" w:eastAsia="宋体"/>
          <w:b/>
          <w:bCs/>
          <w:sz w:val="36"/>
          <w:szCs w:val="36"/>
        </w:rPr>
      </w:pPr>
    </w:p>
    <w:p>
      <w:pPr>
        <w:pStyle w:val="24"/>
        <w:spacing w:line="560" w:lineRule="atLeast"/>
        <w:rPr>
          <w:rFonts w:hint="default" w:eastAsia="宋体"/>
          <w:b/>
          <w:bCs/>
          <w:sz w:val="36"/>
          <w:szCs w:val="36"/>
        </w:rPr>
      </w:pPr>
    </w:p>
    <w:p>
      <w:pPr>
        <w:pStyle w:val="24"/>
        <w:spacing w:line="560" w:lineRule="atLeast"/>
        <w:rPr>
          <w:rFonts w:hint="default" w:eastAsia="宋体"/>
          <w:b/>
          <w:bCs/>
          <w:sz w:val="36"/>
          <w:szCs w:val="36"/>
        </w:rPr>
      </w:pPr>
    </w:p>
    <w:p>
      <w:pPr>
        <w:pStyle w:val="24"/>
        <w:spacing w:line="560" w:lineRule="atLeast"/>
        <w:rPr>
          <w:rFonts w:hint="default" w:eastAsia="宋体"/>
          <w:b/>
          <w:bCs/>
          <w:sz w:val="36"/>
          <w:szCs w:val="36"/>
        </w:rPr>
      </w:pPr>
    </w:p>
    <w:p>
      <w:pPr>
        <w:pStyle w:val="24"/>
        <w:spacing w:before="100" w:beforeAutospacing="1" w:after="240" w:line="560" w:lineRule="atLeast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招标（竞价）</w:t>
      </w:r>
      <w:r>
        <w:rPr>
          <w:rFonts w:hint="eastAsia" w:ascii="宋体" w:hAnsi="宋体" w:eastAsia="宋体" w:cs="宋体"/>
          <w:sz w:val="32"/>
          <w:szCs w:val="32"/>
        </w:rPr>
        <w:t>人：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中国一重集团有限公司</w:t>
      </w:r>
    </w:p>
    <w:p>
      <w:pPr>
        <w:pStyle w:val="24"/>
        <w:spacing w:before="100" w:beforeAutospacing="1" w:after="240" w:line="560" w:lineRule="atLeast"/>
        <w:ind w:firstLine="1280" w:firstLineChars="400"/>
        <w:jc w:val="both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招标（竞价）组织单位：采购中心</w:t>
      </w:r>
    </w:p>
    <w:p>
      <w:pPr>
        <w:pStyle w:val="5"/>
        <w:spacing w:line="360" w:lineRule="auto"/>
        <w:ind w:firstLine="1440" w:firstLineChars="45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5"/>
        <w:spacing w:line="360" w:lineRule="auto"/>
        <w:jc w:val="center"/>
        <w:rPr>
          <w:rFonts w:ascii="宋体" w:hAnsi="宋体" w:eastAsia="PMingLiU" w:cs="宋体"/>
          <w:b/>
          <w:bCs/>
          <w:sz w:val="32"/>
          <w:szCs w:val="32"/>
          <w:lang w:val="zh-TW" w:eastAsia="zh-TW"/>
        </w:rPr>
      </w:pPr>
      <w:r>
        <w:rPr>
          <w:rFonts w:ascii="宋体" w:hAnsi="宋体" w:eastAsia="宋体" w:cs="宋体"/>
          <w:b/>
          <w:bCs/>
          <w:sz w:val="32"/>
          <w:szCs w:val="32"/>
          <w:lang w:val="zh-TW" w:eastAsia="zh-TW"/>
        </w:rPr>
        <w:t>二</w:t>
      </w:r>
      <w:r>
        <w:rPr>
          <w:b/>
          <w:bCs/>
          <w:sz w:val="32"/>
          <w:szCs w:val="32"/>
          <w:lang w:val="zh-TW" w:eastAsia="zh-TW"/>
        </w:rPr>
        <w:t>O</w:t>
      </w:r>
      <w:r>
        <w:rPr>
          <w:rFonts w:hint="eastAsia" w:eastAsia="宋体"/>
          <w:b/>
          <w:bCs/>
          <w:sz w:val="32"/>
          <w:szCs w:val="32"/>
          <w:lang w:val="zh-TW"/>
        </w:rPr>
        <w:t>二</w:t>
      </w:r>
      <w:r>
        <w:rPr>
          <w:rFonts w:hint="eastAsia" w:eastAsia="宋体"/>
          <w:b/>
          <w:bCs/>
          <w:sz w:val="32"/>
          <w:szCs w:val="32"/>
          <w:lang w:val="en-US" w:eastAsia="zh-CN"/>
        </w:rPr>
        <w:t>六</w:t>
      </w:r>
      <w:r>
        <w:rPr>
          <w:rFonts w:ascii="宋体" w:hAnsi="宋体" w:eastAsia="宋体" w:cs="宋体"/>
          <w:b/>
          <w:bCs/>
          <w:sz w:val="32"/>
          <w:szCs w:val="32"/>
          <w:lang w:val="zh-TW" w:eastAsia="zh-TW"/>
        </w:rPr>
        <w:t>年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</w:t>
      </w:r>
      <w:r>
        <w:rPr>
          <w:rFonts w:ascii="宋体" w:hAnsi="宋体" w:eastAsia="宋体" w:cs="宋体"/>
          <w:b/>
          <w:bCs/>
          <w:sz w:val="32"/>
          <w:szCs w:val="32"/>
          <w:lang w:val="zh-TW" w:eastAsia="zh-TW"/>
        </w:rPr>
        <w:t>月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二十一</w:t>
      </w:r>
      <w:r>
        <w:rPr>
          <w:rFonts w:ascii="宋体" w:hAnsi="宋体" w:eastAsia="宋体" w:cs="宋体"/>
          <w:b/>
          <w:bCs/>
          <w:sz w:val="32"/>
          <w:szCs w:val="32"/>
          <w:lang w:val="zh-TW" w:eastAsia="zh-TW"/>
        </w:rPr>
        <w:t>日</w:t>
      </w:r>
    </w:p>
    <w:p>
      <w:pPr>
        <w:pStyle w:val="18"/>
        <w:tabs>
          <w:tab w:val="right" w:leader="dot" w:pos="8431"/>
        </w:tabs>
        <w:jc w:val="center"/>
        <w:rPr>
          <w:rFonts w:hint="eastAsia"/>
          <w:b/>
          <w:bCs/>
          <w:u w:val="none"/>
          <w:lang w:val="zh-CN"/>
        </w:rPr>
      </w:pPr>
    </w:p>
    <w:p>
      <w:pPr>
        <w:pStyle w:val="18"/>
        <w:tabs>
          <w:tab w:val="right" w:leader="dot" w:pos="8431"/>
        </w:tabs>
        <w:jc w:val="center"/>
        <w:rPr>
          <w:rFonts w:hint="eastAsia"/>
          <w:b/>
          <w:bCs/>
          <w:u w:val="none"/>
          <w:lang w:val="zh-CN"/>
        </w:rPr>
      </w:pPr>
    </w:p>
    <w:p>
      <w:pPr>
        <w:pStyle w:val="18"/>
        <w:tabs>
          <w:tab w:val="right" w:leader="dot" w:pos="8431"/>
        </w:tabs>
        <w:jc w:val="center"/>
        <w:rPr>
          <w:rFonts w:hint="eastAsia"/>
          <w:b/>
          <w:bCs/>
          <w:u w:val="none"/>
          <w:lang w:val="zh-CN"/>
        </w:rPr>
      </w:pPr>
    </w:p>
    <w:p>
      <w:pPr>
        <w:pStyle w:val="18"/>
        <w:tabs>
          <w:tab w:val="right" w:leader="dot" w:pos="8431"/>
        </w:tabs>
        <w:ind w:left="0" w:leftChars="0" w:firstLine="0" w:firstLineChars="0"/>
        <w:jc w:val="both"/>
        <w:rPr>
          <w:rFonts w:hint="eastAsia"/>
          <w:b/>
          <w:bCs/>
          <w:u w:val="none"/>
          <w:lang w:val="zh-CN"/>
        </w:rPr>
      </w:pPr>
    </w:p>
    <w:p>
      <w:pPr>
        <w:pStyle w:val="18"/>
        <w:tabs>
          <w:tab w:val="right" w:leader="dot" w:pos="8431"/>
        </w:tabs>
        <w:jc w:val="center"/>
        <w:rPr>
          <w:b/>
          <w:bCs/>
          <w:u w:val="none"/>
          <w:lang w:val="zh-CN"/>
        </w:rPr>
      </w:pPr>
      <w:r>
        <w:rPr>
          <w:rFonts w:hint="eastAsia"/>
          <w:b/>
          <w:bCs/>
          <w:u w:val="none"/>
          <w:lang w:val="zh-CN"/>
        </w:rPr>
        <w:t>目录</w:t>
      </w:r>
    </w:p>
    <w:p>
      <w:pPr>
        <w:pStyle w:val="22"/>
        <w:tabs>
          <w:tab w:val="right" w:leader="dot" w:pos="8431"/>
        </w:tabs>
        <w:ind w:left="480"/>
        <w:rPr>
          <w:b/>
          <w:bCs/>
          <w:u w:val="none"/>
          <w:lang w:val="zh-CN"/>
        </w:rPr>
      </w:pPr>
    </w:p>
    <w:p>
      <w:pPr>
        <w:pStyle w:val="22"/>
        <w:tabs>
          <w:tab w:val="right" w:leader="dot" w:pos="8431"/>
        </w:tabs>
        <w:ind w:left="0" w:leftChars="0" w:firstLine="0" w:firstLineChars="0"/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rPr>
          <w:rFonts w:hint="eastAsia"/>
          <w:b/>
          <w:bCs/>
          <w:u w:val="none"/>
          <w:lang w:val="en-US" w:eastAsia="zh-CN"/>
        </w:rPr>
        <w:t xml:space="preserve">       </w:t>
      </w:r>
      <w:r>
        <w:rPr>
          <w:rFonts w:hint="default"/>
          <w:b/>
          <w:bCs/>
          <w:u w:val="none"/>
          <w:lang w:val="en-US" w:eastAsia="zh-CN"/>
        </w:rPr>
        <w:t xml:space="preserve"> </w:t>
      </w:r>
      <w:r>
        <w:rPr>
          <w:rFonts w:hint="eastAsia"/>
          <w:b w:val="0"/>
          <w:bCs w:val="0"/>
          <w:u w:val="none"/>
          <w:lang w:val="en-US" w:eastAsia="zh-CN"/>
        </w:rPr>
        <w:t>第一章    项目概况--</w:t>
      </w:r>
      <w:r>
        <w:rPr>
          <w:rFonts w:hint="eastAsia"/>
          <w:b/>
          <w:bCs/>
          <w:u w:val="none"/>
          <w:lang w:val="en-US" w:eastAsia="zh-CN"/>
        </w:rPr>
        <w:t>----------------------------------------------------------------</w:t>
      </w:r>
      <w:r>
        <w:rPr>
          <w:rFonts w:hint="default"/>
          <w:b/>
          <w:bCs/>
          <w:u w:val="none"/>
          <w:lang w:val="en-US" w:eastAsia="zh-CN"/>
        </w:rPr>
        <w:t xml:space="preserve"> </w:t>
      </w:r>
      <w:r>
        <w:rPr>
          <w:rFonts w:hint="eastAsia"/>
          <w:b/>
          <w:bCs/>
          <w:u w:val="none"/>
          <w:lang w:val="en-US" w:eastAsia="zh-CN"/>
        </w:rPr>
        <w:t xml:space="preserve">   </w:t>
      </w:r>
      <w:r>
        <w:rPr>
          <w:u w:val="none"/>
        </w:rPr>
        <w:fldChar w:fldCharType="begin"/>
      </w:r>
      <w:r>
        <w:rPr>
          <w:u w:val="none"/>
        </w:rPr>
        <w:instrText xml:space="preserve"> PAGEREF _Toc490645702 \h </w:instrText>
      </w:r>
      <w:r>
        <w:rPr>
          <w:u w:val="none"/>
        </w:rPr>
        <w:fldChar w:fldCharType="separate"/>
      </w:r>
      <w:r>
        <w:rPr>
          <w:u w:val="none"/>
        </w:rPr>
        <w:t xml:space="preserve">- </w:t>
      </w:r>
      <w:r>
        <w:rPr>
          <w:rFonts w:hint="eastAsia"/>
          <w:u w:val="none"/>
          <w:lang w:val="en-US" w:eastAsia="zh-CN"/>
        </w:rPr>
        <w:t>3</w:t>
      </w:r>
      <w:r>
        <w:rPr>
          <w:u w:val="none"/>
        </w:rPr>
        <w:t xml:space="preserve"> -</w:t>
      </w:r>
      <w:r>
        <w:rPr>
          <w:u w:val="none"/>
        </w:rPr>
        <w:fldChar w:fldCharType="end"/>
      </w:r>
      <w:r>
        <w:rPr>
          <w:b/>
          <w:bCs/>
          <w:u w:val="none"/>
          <w:lang w:val="zh-CN"/>
        </w:rPr>
        <w:fldChar w:fldCharType="begin"/>
      </w:r>
      <w:r>
        <w:rPr>
          <w:b/>
          <w:bCs/>
          <w:u w:val="none"/>
          <w:lang w:val="zh-CN"/>
        </w:rPr>
        <w:instrText xml:space="preserve"> TOC \o "1-2" \h \z \u </w:instrText>
      </w:r>
      <w:r>
        <w:rPr>
          <w:b/>
          <w:bCs/>
          <w:u w:val="none"/>
          <w:lang w:val="zh-CN"/>
        </w:rPr>
        <w:fldChar w:fldCharType="separate"/>
      </w:r>
    </w:p>
    <w:p>
      <w:pPr>
        <w:pStyle w:val="18"/>
        <w:tabs>
          <w:tab w:val="right" w:leader="dot" w:pos="8431"/>
        </w:tabs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fldChar w:fldCharType="begin"/>
      </w:r>
      <w:r>
        <w:instrText xml:space="preserve"> HYPERLINK \l "_Toc490645702" </w:instrText>
      </w:r>
      <w:r>
        <w:fldChar w:fldCharType="separate"/>
      </w:r>
      <w:r>
        <w:rPr>
          <w:rStyle w:val="27"/>
          <w:rFonts w:ascii="宋体" w:hAnsi="宋体" w:eastAsia="宋体" w:cs="宋体"/>
          <w:u w:val="none"/>
          <w:lang w:val="zh-TW" w:eastAsia="zh-TW"/>
        </w:rPr>
        <w:t>第</w:t>
      </w:r>
      <w:r>
        <w:rPr>
          <w:rStyle w:val="27"/>
          <w:rFonts w:hint="eastAsia" w:ascii="宋体" w:hAnsi="宋体" w:cs="宋体"/>
          <w:u w:val="none"/>
          <w:lang w:val="zh-TW" w:eastAsia="zh-CN"/>
        </w:rPr>
        <w:t>二</w:t>
      </w:r>
      <w:r>
        <w:rPr>
          <w:rStyle w:val="27"/>
          <w:rFonts w:ascii="宋体" w:hAnsi="宋体" w:eastAsia="宋体" w:cs="宋体"/>
          <w:u w:val="none"/>
          <w:lang w:val="zh-TW" w:eastAsia="zh-TW"/>
        </w:rPr>
        <w:t>章  投标须知</w:t>
      </w:r>
      <w:r>
        <w:rPr>
          <w:rFonts w:hint="eastAsia"/>
          <w:u w:val="none"/>
          <w:lang w:val="en-US" w:eastAsia="zh-CN"/>
        </w:rPr>
        <w:t xml:space="preserve">------------------------------------------------------------------    </w:t>
      </w:r>
      <w:r>
        <w:rPr>
          <w:u w:val="none"/>
        </w:rPr>
        <w:fldChar w:fldCharType="begin"/>
      </w:r>
      <w:r>
        <w:rPr>
          <w:u w:val="none"/>
        </w:rPr>
        <w:instrText xml:space="preserve"> PAGEREF _Toc490645702 \h </w:instrText>
      </w:r>
      <w:r>
        <w:rPr>
          <w:u w:val="none"/>
        </w:rPr>
        <w:fldChar w:fldCharType="separate"/>
      </w:r>
      <w:r>
        <w:rPr>
          <w:u w:val="none"/>
        </w:rPr>
        <w:t xml:space="preserve">- </w:t>
      </w:r>
      <w:r>
        <w:rPr>
          <w:rFonts w:hint="eastAsia"/>
          <w:u w:val="none"/>
          <w:lang w:val="en-US" w:eastAsia="zh-CN"/>
        </w:rPr>
        <w:t>3</w:t>
      </w:r>
      <w:r>
        <w:rPr>
          <w:u w:val="none"/>
        </w:rPr>
        <w:t>-</w:t>
      </w:r>
      <w:r>
        <w:rPr>
          <w:u w:val="none"/>
        </w:rPr>
        <w:fldChar w:fldCharType="end"/>
      </w:r>
      <w:r>
        <w:rPr>
          <w:u w:val="none"/>
        </w:rPr>
        <w:fldChar w:fldCharType="end"/>
      </w:r>
    </w:p>
    <w:p>
      <w:pPr>
        <w:pStyle w:val="22"/>
        <w:tabs>
          <w:tab w:val="right" w:leader="dot" w:pos="8431"/>
        </w:tabs>
        <w:ind w:left="480"/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fldChar w:fldCharType="begin"/>
      </w:r>
      <w:r>
        <w:instrText xml:space="preserve"> HYPERLINK \l "_Toc490645703" </w:instrText>
      </w:r>
      <w:r>
        <w:fldChar w:fldCharType="separate"/>
      </w:r>
      <w:r>
        <w:rPr>
          <w:rStyle w:val="27"/>
          <w:rFonts w:hint="eastAsia"/>
          <w:u w:val="none"/>
          <w:lang w:val="en-US" w:eastAsia="zh-CN"/>
        </w:rPr>
        <w:t>2</w:t>
      </w:r>
      <w:r>
        <w:rPr>
          <w:rStyle w:val="27"/>
          <w:u w:val="none"/>
          <w:lang w:val="zh-TW"/>
        </w:rPr>
        <w:t>.1投标保证金</w:t>
      </w:r>
      <w:r>
        <w:rPr>
          <w:rFonts w:hint="eastAsia"/>
          <w:u w:val="none"/>
          <w:lang w:val="en-US" w:eastAsia="zh-CN"/>
        </w:rPr>
        <w:t xml:space="preserve">----------------------------------------------------------------     </w:t>
      </w:r>
      <w:r>
        <w:rPr>
          <w:u w:val="none"/>
        </w:rPr>
        <w:fldChar w:fldCharType="begin"/>
      </w:r>
      <w:r>
        <w:rPr>
          <w:u w:val="none"/>
        </w:rPr>
        <w:instrText xml:space="preserve"> PAGEREF _Toc490645703 \h </w:instrText>
      </w:r>
      <w:r>
        <w:rPr>
          <w:u w:val="none"/>
        </w:rPr>
        <w:fldChar w:fldCharType="separate"/>
      </w:r>
      <w:r>
        <w:rPr>
          <w:u w:val="none"/>
        </w:rPr>
        <w:t xml:space="preserve">- </w:t>
      </w:r>
      <w:r>
        <w:rPr>
          <w:rFonts w:hint="eastAsia"/>
          <w:u w:val="none"/>
          <w:lang w:val="en-US" w:eastAsia="zh-CN"/>
        </w:rPr>
        <w:t>3</w:t>
      </w:r>
      <w:r>
        <w:rPr>
          <w:u w:val="none"/>
        </w:rPr>
        <w:t>-</w:t>
      </w:r>
      <w:r>
        <w:rPr>
          <w:u w:val="none"/>
        </w:rPr>
        <w:fldChar w:fldCharType="end"/>
      </w:r>
      <w:r>
        <w:rPr>
          <w:u w:val="none"/>
        </w:rPr>
        <w:fldChar w:fldCharType="end"/>
      </w:r>
    </w:p>
    <w:p>
      <w:pPr>
        <w:pStyle w:val="22"/>
        <w:tabs>
          <w:tab w:val="right" w:leader="dot" w:pos="8431"/>
        </w:tabs>
        <w:ind w:left="480"/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fldChar w:fldCharType="begin"/>
      </w:r>
      <w:r>
        <w:instrText xml:space="preserve"> HYPERLINK \l "_Toc490645704" </w:instrText>
      </w:r>
      <w:r>
        <w:fldChar w:fldCharType="separate"/>
      </w:r>
      <w:r>
        <w:rPr>
          <w:rFonts w:hint="eastAsia"/>
          <w:lang w:val="en-US" w:eastAsia="zh-CN"/>
        </w:rPr>
        <w:t>2.2</w:t>
      </w:r>
      <w:r>
        <w:rPr>
          <w:rStyle w:val="27"/>
          <w:u w:val="none"/>
          <w:lang w:val="zh-TW"/>
        </w:rPr>
        <w:t>投标</w:t>
      </w:r>
      <w:r>
        <w:rPr>
          <w:rStyle w:val="27"/>
          <w:rFonts w:hint="eastAsia"/>
          <w:u w:val="none"/>
          <w:lang w:val="zh-TW" w:eastAsia="zh-CN"/>
        </w:rPr>
        <w:t>价格</w:t>
      </w:r>
      <w:r>
        <w:rPr>
          <w:rFonts w:hint="eastAsia"/>
          <w:u w:val="none"/>
          <w:lang w:val="en-US" w:eastAsia="zh-CN"/>
        </w:rPr>
        <w:t xml:space="preserve">--------------------------------------------------------------------    </w:t>
      </w:r>
      <w:r>
        <w:rPr>
          <w:u w:val="none"/>
        </w:rPr>
        <w:fldChar w:fldCharType="begin"/>
      </w:r>
      <w:r>
        <w:rPr>
          <w:u w:val="none"/>
        </w:rPr>
        <w:instrText xml:space="preserve"> PAGEREF _Toc490645704 \h </w:instrText>
      </w:r>
      <w:r>
        <w:rPr>
          <w:u w:val="none"/>
        </w:rPr>
        <w:fldChar w:fldCharType="separate"/>
      </w:r>
      <w:r>
        <w:rPr>
          <w:u w:val="none"/>
        </w:rPr>
        <w:t xml:space="preserve">- </w:t>
      </w:r>
      <w:r>
        <w:rPr>
          <w:rFonts w:hint="eastAsia"/>
          <w:u w:val="none"/>
          <w:lang w:val="en-US" w:eastAsia="zh-CN"/>
        </w:rPr>
        <w:t>4</w:t>
      </w:r>
      <w:r>
        <w:rPr>
          <w:u w:val="none"/>
        </w:rPr>
        <w:t>-</w:t>
      </w:r>
      <w:r>
        <w:rPr>
          <w:u w:val="none"/>
        </w:rPr>
        <w:fldChar w:fldCharType="end"/>
      </w:r>
      <w:r>
        <w:rPr>
          <w:u w:val="none"/>
        </w:rPr>
        <w:fldChar w:fldCharType="end"/>
      </w:r>
    </w:p>
    <w:p>
      <w:pPr>
        <w:pStyle w:val="18"/>
        <w:tabs>
          <w:tab w:val="right" w:leader="dot" w:pos="8431"/>
        </w:tabs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fldChar w:fldCharType="begin"/>
      </w:r>
      <w:r>
        <w:instrText xml:space="preserve"> HYPERLINK \l "_Toc490645707" </w:instrText>
      </w:r>
      <w:r>
        <w:fldChar w:fldCharType="separate"/>
      </w:r>
      <w:r>
        <w:rPr>
          <w:rStyle w:val="27"/>
          <w:rFonts w:ascii="宋体" w:hAnsi="宋体" w:eastAsia="宋体"/>
          <w:u w:val="none"/>
        </w:rPr>
        <w:t>第</w:t>
      </w:r>
      <w:r>
        <w:rPr>
          <w:rStyle w:val="27"/>
          <w:rFonts w:hint="eastAsia" w:ascii="宋体" w:hAnsi="宋体"/>
          <w:u w:val="none"/>
          <w:lang w:eastAsia="zh-CN"/>
        </w:rPr>
        <w:t>三</w:t>
      </w:r>
      <w:r>
        <w:rPr>
          <w:rStyle w:val="27"/>
          <w:rFonts w:ascii="宋体" w:hAnsi="宋体" w:eastAsia="宋体"/>
          <w:u w:val="none"/>
        </w:rPr>
        <w:t xml:space="preserve">章 </w:t>
      </w:r>
      <w:r>
        <w:rPr>
          <w:rStyle w:val="27"/>
          <w:rFonts w:ascii="宋体" w:hAnsi="宋体" w:eastAsia="宋体" w:cs="宋体"/>
          <w:u w:val="none"/>
        </w:rPr>
        <w:t>开标与评标</w:t>
      </w:r>
      <w:r>
        <w:rPr>
          <w:u w:val="none"/>
        </w:rPr>
        <w:fldChar w:fldCharType="end"/>
      </w:r>
      <w:r>
        <w:rPr>
          <w:rFonts w:hint="eastAsia"/>
          <w:u w:val="none"/>
          <w:lang w:val="en-US" w:eastAsia="zh-CN"/>
        </w:rPr>
        <w:t>-----------------------------------------------------------------    -5-</w:t>
      </w:r>
    </w:p>
    <w:p>
      <w:pPr>
        <w:pStyle w:val="22"/>
        <w:tabs>
          <w:tab w:val="right" w:leader="dot" w:pos="8431"/>
        </w:tabs>
        <w:ind w:left="480"/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fldChar w:fldCharType="begin"/>
      </w:r>
      <w:r>
        <w:instrText xml:space="preserve"> HYPERLINK \l "_Toc490645708" </w:instrText>
      </w:r>
      <w:r>
        <w:fldChar w:fldCharType="separate"/>
      </w:r>
      <w:r>
        <w:rPr>
          <w:rStyle w:val="27"/>
          <w:rFonts w:hint="eastAsia"/>
          <w:u w:val="none"/>
          <w:lang w:val="en-US" w:eastAsia="zh-CN"/>
        </w:rPr>
        <w:t>3</w:t>
      </w:r>
      <w:r>
        <w:rPr>
          <w:rStyle w:val="27"/>
          <w:u w:val="none"/>
        </w:rPr>
        <w:t>.1</w:t>
      </w:r>
      <w:r>
        <w:rPr>
          <w:rStyle w:val="27"/>
          <w:rFonts w:ascii="宋体" w:hAnsi="宋体" w:cs="宋体"/>
          <w:u w:val="none"/>
          <w:lang w:val="zh-TW" w:eastAsia="zh-TW"/>
        </w:rPr>
        <w:t>开标</w:t>
      </w:r>
      <w:r>
        <w:rPr>
          <w:u w:val="none"/>
        </w:rPr>
        <w:fldChar w:fldCharType="end"/>
      </w:r>
      <w:r>
        <w:rPr>
          <w:rFonts w:hint="eastAsia"/>
          <w:u w:val="none"/>
          <w:lang w:val="en-US" w:eastAsia="zh-CN"/>
        </w:rPr>
        <w:t>--------------------------------------------------------------------------    -5-</w:t>
      </w:r>
    </w:p>
    <w:p>
      <w:pPr>
        <w:pStyle w:val="22"/>
        <w:tabs>
          <w:tab w:val="right" w:leader="dot" w:pos="8431"/>
        </w:tabs>
        <w:ind w:left="480"/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fldChar w:fldCharType="begin"/>
      </w:r>
      <w:r>
        <w:instrText xml:space="preserve"> HYPERLINK \l "_Toc490645709" </w:instrText>
      </w:r>
      <w:r>
        <w:fldChar w:fldCharType="separate"/>
      </w:r>
      <w:r>
        <w:rPr>
          <w:rFonts w:hint="eastAsia"/>
          <w:lang w:val="en-US" w:eastAsia="zh-CN"/>
        </w:rPr>
        <w:t>3</w:t>
      </w:r>
      <w:r>
        <w:rPr>
          <w:rStyle w:val="27"/>
          <w:u w:val="none"/>
          <w:lang w:val="zh-TW"/>
        </w:rPr>
        <w:t>.2</w:t>
      </w:r>
      <w:r>
        <w:rPr>
          <w:rStyle w:val="27"/>
          <w:rFonts w:hint="eastAsia"/>
          <w:u w:val="none"/>
          <w:lang w:val="zh-TW" w:eastAsia="zh-CN"/>
        </w:rPr>
        <w:t>评标</w:t>
      </w:r>
      <w:r>
        <w:rPr>
          <w:u w:val="none"/>
        </w:rPr>
        <w:fldChar w:fldCharType="end"/>
      </w:r>
      <w:r>
        <w:rPr>
          <w:rFonts w:hint="eastAsia"/>
          <w:u w:val="none"/>
          <w:lang w:val="en-US" w:eastAsia="zh-CN"/>
        </w:rPr>
        <w:t>--------------------------------------------------------------------------    -5-</w:t>
      </w:r>
    </w:p>
    <w:p>
      <w:pPr>
        <w:pStyle w:val="22"/>
        <w:tabs>
          <w:tab w:val="right" w:leader="dot" w:pos="8431"/>
        </w:tabs>
        <w:ind w:left="480"/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fldChar w:fldCharType="begin"/>
      </w:r>
      <w:r>
        <w:instrText xml:space="preserve"> HYPERLINK \l "_Toc490645710" </w:instrText>
      </w:r>
      <w:r>
        <w:fldChar w:fldCharType="separate"/>
      </w:r>
      <w:r>
        <w:rPr>
          <w:rStyle w:val="27"/>
          <w:rFonts w:hint="eastAsia"/>
          <w:u w:val="none"/>
          <w:lang w:val="en-US" w:eastAsia="zh-CN"/>
        </w:rPr>
        <w:t>3</w:t>
      </w:r>
      <w:r>
        <w:rPr>
          <w:rStyle w:val="27"/>
          <w:u w:val="none"/>
          <w:lang w:val="zh-TW"/>
        </w:rPr>
        <w:t>.3中标通知书</w:t>
      </w:r>
      <w:r>
        <w:rPr>
          <w:u w:val="none"/>
        </w:rPr>
        <w:fldChar w:fldCharType="end"/>
      </w:r>
      <w:r>
        <w:rPr>
          <w:rFonts w:hint="eastAsia"/>
          <w:u w:val="none"/>
          <w:lang w:val="en-US" w:eastAsia="zh-CN"/>
        </w:rPr>
        <w:t>-----------------------------------------------------------------    -6-</w:t>
      </w:r>
    </w:p>
    <w:p>
      <w:pPr>
        <w:pStyle w:val="22"/>
        <w:tabs>
          <w:tab w:val="right" w:leader="dot" w:pos="8431"/>
        </w:tabs>
        <w:ind w:left="480"/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fldChar w:fldCharType="begin"/>
      </w:r>
      <w:r>
        <w:instrText xml:space="preserve"> HYPERLINK \l "_Toc490645711" </w:instrText>
      </w:r>
      <w:r>
        <w:fldChar w:fldCharType="separate"/>
      </w:r>
      <w:r>
        <w:rPr>
          <w:rFonts w:hint="eastAsia"/>
          <w:lang w:val="en-US" w:eastAsia="zh-CN"/>
        </w:rPr>
        <w:t>3.</w:t>
      </w:r>
      <w:r>
        <w:rPr>
          <w:rStyle w:val="27"/>
          <w:u w:val="none"/>
          <w:lang w:val="zh-TW"/>
        </w:rPr>
        <w:t>4中标服务费</w:t>
      </w:r>
      <w:r>
        <w:rPr>
          <w:u w:val="none"/>
        </w:rPr>
        <w:fldChar w:fldCharType="end"/>
      </w:r>
      <w:r>
        <w:rPr>
          <w:rFonts w:hint="eastAsia"/>
          <w:u w:val="none"/>
          <w:lang w:val="en-US" w:eastAsia="zh-CN"/>
        </w:rPr>
        <w:t>-----------------------------------------------------------------    -6-</w:t>
      </w:r>
    </w:p>
    <w:p>
      <w:pPr>
        <w:pStyle w:val="22"/>
        <w:tabs>
          <w:tab w:val="right" w:leader="dot" w:pos="8431"/>
        </w:tabs>
        <w:ind w:left="480"/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fldChar w:fldCharType="begin"/>
      </w:r>
      <w:r>
        <w:instrText xml:space="preserve"> HYPERLINK \l "_Toc490645713" </w:instrText>
      </w:r>
      <w:r>
        <w:fldChar w:fldCharType="separate"/>
      </w:r>
      <w:r>
        <w:rPr>
          <w:rStyle w:val="27"/>
          <w:rFonts w:hint="eastAsia"/>
          <w:u w:val="none"/>
          <w:lang w:val="en-US" w:eastAsia="zh-CN"/>
        </w:rPr>
        <w:t>3</w:t>
      </w:r>
      <w:r>
        <w:rPr>
          <w:rStyle w:val="27"/>
          <w:u w:val="none"/>
          <w:lang w:val="zh-TW"/>
        </w:rPr>
        <w:t>.</w:t>
      </w:r>
      <w:r>
        <w:rPr>
          <w:rStyle w:val="27"/>
          <w:rFonts w:hint="eastAsia"/>
          <w:u w:val="none"/>
          <w:lang w:val="en-US" w:eastAsia="zh-CN"/>
        </w:rPr>
        <w:t>5</w:t>
      </w:r>
      <w:r>
        <w:rPr>
          <w:rStyle w:val="27"/>
          <w:u w:val="none"/>
          <w:lang w:val="zh-TW"/>
        </w:rPr>
        <w:t>合同的签署</w:t>
      </w:r>
      <w:r>
        <w:rPr>
          <w:u w:val="none"/>
        </w:rPr>
        <w:fldChar w:fldCharType="end"/>
      </w:r>
      <w:r>
        <w:rPr>
          <w:rFonts w:hint="eastAsia"/>
          <w:u w:val="none"/>
          <w:lang w:val="en-US" w:eastAsia="zh-CN"/>
        </w:rPr>
        <w:t>------------------------------------------------------------------   -7-</w:t>
      </w:r>
    </w:p>
    <w:p>
      <w:pPr>
        <w:pStyle w:val="22"/>
        <w:tabs>
          <w:tab w:val="right" w:leader="dot" w:pos="8431"/>
        </w:tabs>
        <w:ind w:left="0" w:leftChars="0" w:firstLineChars="200"/>
        <w:rPr>
          <w:rFonts w:ascii="Calibri" w:hAnsi="Calibri" w:eastAsia="宋体" w:cs="黑体"/>
          <w:kern w:val="2"/>
          <w:sz w:val="21"/>
          <w:szCs w:val="22"/>
          <w:u w:val="none"/>
        </w:rPr>
      </w:pPr>
      <w:r>
        <w:fldChar w:fldCharType="begin"/>
      </w:r>
      <w:r>
        <w:instrText xml:space="preserve"> HYPERLINK \l "_Toc490645724" </w:instrText>
      </w:r>
      <w:r>
        <w:fldChar w:fldCharType="separate"/>
      </w:r>
      <w:r>
        <w:rPr>
          <w:rStyle w:val="27"/>
          <w:rFonts w:ascii="宋体" w:hAnsi="宋体" w:eastAsia="宋体"/>
          <w:u w:val="none"/>
          <w:lang w:val="zh-TW"/>
        </w:rPr>
        <w:t>第</w:t>
      </w:r>
      <w:r>
        <w:rPr>
          <w:rStyle w:val="27"/>
          <w:rFonts w:hint="eastAsia" w:ascii="宋体" w:hAnsi="宋体"/>
          <w:u w:val="none"/>
          <w:lang w:val="zh-TW" w:eastAsia="zh-CN"/>
        </w:rPr>
        <w:t>四</w:t>
      </w:r>
      <w:r>
        <w:rPr>
          <w:rStyle w:val="27"/>
          <w:rFonts w:ascii="宋体" w:hAnsi="宋体" w:eastAsia="宋体"/>
          <w:u w:val="none"/>
          <w:lang w:val="zh-TW"/>
        </w:rPr>
        <w:t xml:space="preserve">章  </w:t>
      </w:r>
      <w:r>
        <w:rPr>
          <w:rStyle w:val="27"/>
          <w:rFonts w:hint="eastAsia" w:ascii="宋体" w:hAnsi="宋体"/>
          <w:u w:val="none"/>
          <w:lang w:val="zh-TW" w:eastAsia="zh-CN"/>
        </w:rPr>
        <w:t>招标（竞价）</w:t>
      </w:r>
      <w:r>
        <w:rPr>
          <w:rStyle w:val="27"/>
          <w:rFonts w:ascii="宋体" w:hAnsi="宋体" w:eastAsia="宋体"/>
          <w:u w:val="none"/>
          <w:lang w:val="zh-TW"/>
        </w:rPr>
        <w:t>过程争议及纠纷的解决</w:t>
      </w:r>
      <w:r>
        <w:rPr>
          <w:u w:val="none"/>
        </w:rPr>
        <w:fldChar w:fldCharType="end"/>
      </w:r>
      <w:r>
        <w:rPr>
          <w:rFonts w:hint="eastAsia"/>
          <w:u w:val="none"/>
          <w:lang w:val="en-US" w:eastAsia="zh-CN"/>
        </w:rPr>
        <w:t>-------------------------------   -7-</w:t>
      </w:r>
    </w:p>
    <w:p>
      <w:pPr>
        <w:pStyle w:val="22"/>
        <w:tabs>
          <w:tab w:val="right" w:leader="dot" w:pos="8431"/>
        </w:tabs>
        <w:ind w:left="0" w:leftChars="0" w:firstLine="482" w:firstLineChars="200"/>
        <w:rPr>
          <w:u w:val="none"/>
        </w:rPr>
      </w:pPr>
      <w:r>
        <w:rPr>
          <w:b/>
          <w:bCs/>
          <w:u w:val="none"/>
          <w:lang w:val="zh-CN"/>
        </w:rPr>
        <w:fldChar w:fldCharType="end"/>
      </w:r>
    </w:p>
    <w:p>
      <w:pPr>
        <w:pStyle w:val="5"/>
        <w:spacing w:line="360" w:lineRule="auto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最终解释权归招标（竞价）人所有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5"/>
        <w:spacing w:line="360" w:lineRule="auto"/>
        <w:rPr>
          <w:rFonts w:eastAsia="宋体"/>
        </w:rPr>
        <w:sectPr>
          <w:headerReference r:id="rId4" w:type="first"/>
          <w:footerReference r:id="rId6" w:type="first"/>
          <w:headerReference r:id="rId3" w:type="default"/>
          <w:footerReference r:id="rId5" w:type="default"/>
          <w:pgSz w:w="11900" w:h="16840"/>
          <w:pgMar w:top="1474" w:right="1701" w:bottom="1418" w:left="1758" w:header="851" w:footer="1134" w:gutter="0"/>
          <w:pgNumType w:fmt="decimal"/>
          <w:cols w:space="720" w:num="1"/>
          <w:titlePg/>
          <w:docGrid w:linePitch="326" w:charSpace="0"/>
        </w:sectPr>
      </w:pPr>
    </w:p>
    <w:p>
      <w:pPr>
        <w:pStyle w:val="5"/>
        <w:numPr>
          <w:ilvl w:val="0"/>
          <w:numId w:val="0"/>
        </w:numPr>
        <w:spacing w:before="120" w:line="360" w:lineRule="auto"/>
        <w:jc w:val="center"/>
        <w:outlineLvl w:val="0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bookmarkStart w:id="0" w:name="_Toc489533785"/>
      <w:bookmarkStart w:id="1" w:name="_Toc489533297"/>
      <w:bookmarkStart w:id="2" w:name="_Toc484762136"/>
      <w:bookmarkStart w:id="3" w:name="_Toc490645694"/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第一章</w:t>
      </w:r>
      <w:r>
        <w:rPr>
          <w:rFonts w:hint="default" w:ascii="仿宋" w:hAnsi="仿宋" w:eastAsia="仿宋" w:cs="仿宋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项目概况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1.1项目名称：3D扫描仪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1.2项目编号：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highlight w:val="none"/>
          <w:lang w:val="en-US" w:eastAsia="zh-CN"/>
        </w:rPr>
        <w:t>JJ2026012146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1.3总数量/重量：1台套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1.4交货期：合同签订后50个工作日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1.5付款方式：</w:t>
      </w:r>
    </w:p>
    <w:p>
      <w:pPr>
        <w:tabs>
          <w:tab w:val="left" w:pos="1268"/>
          <w:tab w:val="left" w:pos="5195"/>
          <w:tab w:val="left" w:pos="6581"/>
          <w:tab w:val="left" w:pos="9646"/>
        </w:tabs>
        <w:spacing w:line="360" w:lineRule="auto"/>
        <w:ind w:firstLine="420"/>
        <w:jc w:val="left"/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u w:val="none"/>
          <w:lang w:val="en-US" w:eastAsia="zh-CN" w:bidi="ar-SA"/>
        </w:rPr>
        <w:t>1、本合同签订后，</w:t>
      </w:r>
      <w:bookmarkStart w:id="4" w:name="_GoBack"/>
      <w:bookmarkEnd w:id="4"/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u w:val="none"/>
          <w:lang w:val="en-US" w:eastAsia="zh-CN" w:bidi="ar-SA"/>
        </w:rPr>
        <w:t>乙方备货。设备整体验收合格，甲方支付合同总额90%验收款，即人民币：元；乙方开具合同全额税率为13％的增值税发票和收据。</w:t>
      </w:r>
    </w:p>
    <w:p>
      <w:pPr>
        <w:tabs>
          <w:tab w:val="left" w:pos="1268"/>
          <w:tab w:val="left" w:pos="5195"/>
          <w:tab w:val="left" w:pos="6581"/>
          <w:tab w:val="left" w:pos="9646"/>
        </w:tabs>
        <w:spacing w:line="360" w:lineRule="auto"/>
        <w:ind w:firstLine="420"/>
        <w:jc w:val="left"/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u w:val="none"/>
          <w:lang w:val="en-US" w:eastAsia="zh-CN" w:bidi="ar-SA"/>
        </w:rPr>
        <w:t xml:space="preserve">2、合同总额10%为质保金，质保期自验收之日起1年，质保期满且无质量问题甲方支付10%质保金，即人民币：元。    </w:t>
      </w:r>
    </w:p>
    <w:p>
      <w:pPr>
        <w:widowControl/>
        <w:spacing w:line="360" w:lineRule="auto"/>
        <w:textAlignment w:val="center"/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u w:val="none"/>
          <w:lang w:val="en-US" w:eastAsia="zh-CN" w:bidi="ar-SA"/>
        </w:rPr>
        <w:t>3、支付方式：电汇或承兑汇票作为本合同价款的支付方式。</w:t>
      </w: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u w:val="none"/>
          <w:lang w:val="en-US" w:eastAsia="zh-CN" w:bidi="ar-SA"/>
        </w:rPr>
        <w:t xml:space="preserve">    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1.6采购方式：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sym w:font="Wingdings 2" w:char="00A3"/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公开招标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sym w:font="Wingdings 2" w:char="00A3"/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邀请招标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sym w:font="Wingdings 2" w:char="0052"/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竞价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sym w:font="Wingdings 2" w:char="00A3"/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询价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1.7价格期限：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sym w:font="Wingdings 2" w:char="00A3"/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阶段定价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sym w:font="Wingdings 2" w:char="0052"/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一次性定价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1.8评标方式：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sym w:font="Wingdings 2" w:char="0052"/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最低价中标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综合评标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1.9品牌及产地要求：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sym w:font="Wingdings 2" w:char="0052"/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国产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sym w:font="Wingdings 2" w:char="0052"/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进口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1.10其他项目详细信息见中国一重集中采购平台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1.11是否上传相关附件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sym w:font="Wingdings 2" w:char="0052"/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标书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图纸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技术协议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其他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网址http://jzcg.cfhi.com</w:t>
      </w:r>
    </w:p>
    <w:p>
      <w:pPr>
        <w:pStyle w:val="5"/>
        <w:numPr>
          <w:ilvl w:val="0"/>
          <w:numId w:val="1"/>
        </w:numPr>
        <w:spacing w:before="120" w:line="360" w:lineRule="auto"/>
        <w:ind w:left="2720" w:leftChars="0" w:firstLine="0" w:firstLineChars="0"/>
        <w:jc w:val="both"/>
        <w:outlineLvl w:val="0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 xml:space="preserve">   投标须知</w:t>
      </w:r>
    </w:p>
    <w:p>
      <w:pPr>
        <w:pStyle w:val="5"/>
        <w:numPr>
          <w:ilvl w:val="0"/>
          <w:numId w:val="0"/>
        </w:numPr>
        <w:spacing w:before="120" w:line="360" w:lineRule="auto"/>
        <w:ind w:left="2720" w:leftChars="0"/>
        <w:jc w:val="both"/>
        <w:outlineLvl w:val="0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2.1投标</w:t>
      </w:r>
      <w:r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竞价）保证金</w:t>
      </w:r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shd w:val="clear" w:color="auto" w:fill="auto"/>
          <w:lang w:val="en-US" w:eastAsia="zh-CN"/>
        </w:rPr>
        <w:t>（无需缴纳）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 2.1.1投标</w:t>
      </w:r>
      <w:r>
        <w:drawing>
          <wp:inline distT="0" distB="0" distL="114300" distR="114300">
            <wp:extent cx="635" cy="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35" cy="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竞价）保证金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可按年度或一次性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两种方式进行缴纳。</w:t>
      </w:r>
    </w:p>
    <w:p>
      <w:pPr>
        <w:pStyle w:val="5"/>
        <w:numPr>
          <w:ilvl w:val="0"/>
          <w:numId w:val="0"/>
        </w:numPr>
        <w:spacing w:before="120" w:line="360" w:lineRule="auto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2.1.2按项目缴纳的金额为不超过项目预算总价2%。其缴纳的最高金额为 50 万元人民币。</w:t>
      </w:r>
    </w:p>
    <w:p>
      <w:pPr>
        <w:pStyle w:val="5"/>
        <w:numPr>
          <w:ilvl w:val="0"/>
          <w:numId w:val="0"/>
        </w:numPr>
        <w:spacing w:before="120" w:line="360" w:lineRule="auto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2.1.3按年度缴纳：</w:t>
      </w:r>
    </w:p>
    <w:tbl>
      <w:tblPr>
        <w:tblStyle w:val="30"/>
        <w:tblpPr w:leftFromText="180" w:rightFromText="180" w:vertAnchor="text" w:horzAnchor="page" w:tblpX="1864" w:tblpY="448"/>
        <w:tblOverlap w:val="never"/>
        <w:tblW w:w="84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3544"/>
        <w:gridCol w:w="39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top"/>
          </w:tcPr>
          <w:p>
            <w:pPr>
              <w:spacing w:line="36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档次</w:t>
            </w:r>
          </w:p>
        </w:tc>
        <w:tc>
          <w:tcPr>
            <w:tcW w:w="3544" w:type="dxa"/>
            <w:vAlign w:val="top"/>
          </w:tcPr>
          <w:p>
            <w:pPr>
              <w:tabs>
                <w:tab w:val="center" w:pos="1664"/>
                <w:tab w:val="right" w:pos="3328"/>
              </w:tabs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按年度缴纳的金额</w:t>
            </w:r>
          </w:p>
        </w:tc>
        <w:tc>
          <w:tcPr>
            <w:tcW w:w="3965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项目范围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top"/>
          </w:tcPr>
          <w:p>
            <w:pPr>
              <w:spacing w:line="3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1</w:t>
            </w:r>
          </w:p>
        </w:tc>
        <w:tc>
          <w:tcPr>
            <w:tcW w:w="3544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2万元</w:t>
            </w:r>
          </w:p>
        </w:tc>
        <w:tc>
          <w:tcPr>
            <w:tcW w:w="3965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项目预算总价≦500万元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top"/>
          </w:tcPr>
          <w:p>
            <w:pPr>
              <w:spacing w:line="3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2</w:t>
            </w:r>
          </w:p>
        </w:tc>
        <w:tc>
          <w:tcPr>
            <w:tcW w:w="3544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5万元</w:t>
            </w:r>
          </w:p>
        </w:tc>
        <w:tc>
          <w:tcPr>
            <w:tcW w:w="3965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项目预算总价≦2000万元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top"/>
          </w:tcPr>
          <w:p>
            <w:pPr>
              <w:spacing w:line="3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3</w:t>
            </w:r>
          </w:p>
        </w:tc>
        <w:tc>
          <w:tcPr>
            <w:tcW w:w="3544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10万元</w:t>
            </w:r>
          </w:p>
        </w:tc>
        <w:tc>
          <w:tcPr>
            <w:tcW w:w="3965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项目预算总价≦5000万元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top"/>
          </w:tcPr>
          <w:p>
            <w:pPr>
              <w:spacing w:line="3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4</w:t>
            </w:r>
          </w:p>
        </w:tc>
        <w:tc>
          <w:tcPr>
            <w:tcW w:w="3544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20万元</w:t>
            </w:r>
          </w:p>
        </w:tc>
        <w:tc>
          <w:tcPr>
            <w:tcW w:w="3965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项目预算总价≦1亿元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  <w:vAlign w:val="top"/>
          </w:tcPr>
          <w:p>
            <w:pPr>
              <w:spacing w:line="3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5</w:t>
            </w:r>
          </w:p>
        </w:tc>
        <w:tc>
          <w:tcPr>
            <w:tcW w:w="3544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50万元</w:t>
            </w:r>
          </w:p>
        </w:tc>
        <w:tc>
          <w:tcPr>
            <w:tcW w:w="3965" w:type="dxa"/>
            <w:vAlign w:val="top"/>
          </w:tcPr>
          <w:p>
            <w:pPr>
              <w:spacing w:line="360" w:lineRule="exact"/>
              <w:jc w:val="both"/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0"/>
                <w:sz w:val="28"/>
                <w:szCs w:val="28"/>
                <w:u w:val="none"/>
              </w:rPr>
              <w:t>所有项目</w:t>
            </w:r>
          </w:p>
        </w:tc>
      </w:tr>
    </w:tbl>
    <w:p>
      <w:pPr>
        <w:pStyle w:val="5"/>
        <w:numPr>
          <w:ilvl w:val="0"/>
          <w:numId w:val="0"/>
        </w:numPr>
        <w:spacing w:before="120" w:line="360" w:lineRule="auto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2.1.4投标人在投标前需向招标（竞价）人交纳投标保证金。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投标保证金以电汇方式付到指定账户2.1.6。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开标提前一天将凭证提交招标（竞价）方。</w:t>
      </w:r>
    </w:p>
    <w:p>
      <w:pPr>
        <w:pStyle w:val="5"/>
        <w:numPr>
          <w:ilvl w:val="0"/>
          <w:numId w:val="0"/>
        </w:numPr>
        <w:spacing w:before="120" w:line="360" w:lineRule="auto"/>
        <w:ind w:firstLine="640" w:firstLineChars="200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2.1.5</w:t>
      </w: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lang w:val="en-US" w:eastAsia="zh-CN" w:bidi="ar-SA"/>
        </w:rPr>
        <w:t>投标</w:t>
      </w:r>
      <w:r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竞价）</w:t>
      </w: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lang w:val="en-US" w:eastAsia="zh-CN" w:bidi="ar-SA"/>
        </w:rPr>
        <w:t>保证金可利用应付款冲抵。</w:t>
      </w:r>
    </w:p>
    <w:p>
      <w:pPr>
        <w:pStyle w:val="33"/>
        <w:widowControl/>
        <w:tabs>
          <w:tab w:val="left" w:pos="1060"/>
        </w:tabs>
        <w:spacing w:line="360" w:lineRule="auto"/>
        <w:rPr>
          <w:rFonts w:hint="eastAsia" w:ascii="仿宋" w:hAnsi="仿宋" w:eastAsia="仿宋" w:cs="仿宋"/>
          <w:b w:val="0"/>
          <w:bCs/>
          <w:sz w:val="32"/>
          <w:szCs w:val="32"/>
          <w:lang w:val="zh-TW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 2.1.6</w:t>
      </w: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lang w:val="zh-TW" w:eastAsia="zh-CN" w:bidi="ar-SA"/>
        </w:rPr>
        <w:t>保证金收款账户信息：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  <w:t>户名：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none"/>
          <w:lang w:eastAsia="zh-CN"/>
        </w:rPr>
        <w:t>中国第一重型机械股份公司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  <w:t>开户行：中国银行股份有限公司齐齐哈尔富拉尔基支行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  <w:t>账号：170221954478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  <w:t>行号：104264000051</w:t>
      </w:r>
    </w:p>
    <w:p>
      <w:pPr>
        <w:pStyle w:val="5"/>
        <w:tabs>
          <w:tab w:val="left" w:pos="960"/>
        </w:tabs>
        <w:spacing w:line="360" w:lineRule="auto"/>
        <w:ind w:firstLine="931" w:firstLineChars="291"/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eastAsia="zh-CN"/>
        </w:rPr>
        <w:t>备注：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eastAsia="zh-CN"/>
        </w:rPr>
        <w:t>项目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eastAsia="zh-CN"/>
        </w:rPr>
        <w:t>投标保证金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  <w:t>(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eastAsia="zh-CN"/>
        </w:rPr>
        <w:t>招标（竞价）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  <w:t>编号：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single"/>
        </w:rPr>
        <w:t>)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 xml:space="preserve">    2.1.7投标</w:t>
      </w:r>
      <w:r>
        <w:rPr>
          <w:rFonts w:hint="default" w:ascii="仿宋" w:hAnsi="仿宋" w:eastAsia="仿宋" w:cs="仿宋"/>
          <w:b w:val="0"/>
          <w:bCs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竞价）保证金在签订合同后一个月内返还。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2.2投标价格</w:t>
      </w:r>
    </w:p>
    <w:p>
      <w:pPr>
        <w:pStyle w:val="33"/>
        <w:widowControl/>
        <w:tabs>
          <w:tab w:val="left" w:pos="1150"/>
        </w:tabs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2.2.1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投标人需按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项目明细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进行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逐项单独核算并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报价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(注：不得打包总价，随意填报调整单价）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。</w:t>
      </w:r>
    </w:p>
    <w:p>
      <w:pPr>
        <w:pStyle w:val="33"/>
        <w:widowControl/>
        <w:tabs>
          <w:tab w:val="left" w:pos="1150"/>
        </w:tabs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2.2.2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所有投标均以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zh-TW"/>
        </w:rPr>
        <w:t>（人民币）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报价，如果投标报价中有多种货币，按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人规定的方式进行折算。</w:t>
      </w:r>
    </w:p>
    <w:p>
      <w:pPr>
        <w:pStyle w:val="33"/>
        <w:widowControl/>
        <w:tabs>
          <w:tab w:val="left" w:pos="1150"/>
        </w:tabs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2.2.3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投标报价为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总价包干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、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含税（税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％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须在报价中注明，否则默认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13%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）、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含运费、送货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到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采购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人指定地点、一票结算的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价格</w:t>
      </w:r>
      <w:r>
        <w:rPr>
          <w:rFonts w:hint="eastAsia" w:ascii="仿宋" w:hAnsi="仿宋" w:eastAsia="仿宋" w:cs="仿宋"/>
          <w:sz w:val="32"/>
          <w:szCs w:val="32"/>
        </w:rPr>
        <w:t>(另有规定的除外)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。</w:t>
      </w:r>
    </w:p>
    <w:p>
      <w:pPr>
        <w:pStyle w:val="33"/>
        <w:widowControl/>
        <w:tabs>
          <w:tab w:val="left" w:pos="1150"/>
        </w:tabs>
        <w:spacing w:line="360" w:lineRule="auto"/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lang w:val="en-US" w:eastAsia="zh-CN" w:bidi="ar-SA"/>
        </w:rPr>
        <w:t>2.3单价、总价、品牌产地、交货期、付款方式必须填写，未填写默认符合一重要求。</w:t>
      </w:r>
    </w:p>
    <w:p>
      <w:pPr>
        <w:pStyle w:val="33"/>
        <w:widowControl/>
        <w:tabs>
          <w:tab w:val="left" w:pos="1150"/>
        </w:tabs>
        <w:spacing w:line="360" w:lineRule="auto"/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/>
          <w:kern w:val="2"/>
          <w:sz w:val="32"/>
          <w:szCs w:val="32"/>
          <w:lang w:val="en-US" w:eastAsia="zh-CN" w:bidi="ar-SA"/>
        </w:rPr>
        <w:t>2.4报价附件必须上传且需加盖红</w:t>
      </w: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章或授权人签字。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2.5若需澄清，需在报价中备注的同时上传澄清附件，并在议价过程中通知招标（竞价）方。否则视为完全满足要求。</w:t>
      </w:r>
    </w:p>
    <w:p>
      <w:pPr>
        <w:pStyle w:val="5"/>
        <w:numPr>
          <w:ilvl w:val="0"/>
          <w:numId w:val="2"/>
        </w:numPr>
        <w:spacing w:before="120" w:line="360" w:lineRule="auto"/>
        <w:jc w:val="center"/>
        <w:outlineLvl w:val="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开标与评标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3.1开标</w:t>
      </w:r>
    </w:p>
    <w:p>
      <w:pPr>
        <w:pStyle w:val="5"/>
        <w:numPr>
          <w:ilvl w:val="0"/>
          <w:numId w:val="0"/>
        </w:numPr>
        <w:spacing w:before="120" w:line="360" w:lineRule="auto"/>
        <w:jc w:val="both"/>
        <w:outlineLvl w:val="0"/>
        <w:rPr>
          <w:rFonts w:hint="eastAsia" w:ascii="仿宋" w:hAnsi="仿宋" w:eastAsia="仿宋" w:cs="仿宋"/>
          <w:sz w:val="32"/>
          <w:szCs w:val="32"/>
          <w:lang w:val="zh-TW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3.1.1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人按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采购平台项目设置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的时间主持开标，投标人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在此期间需保持报名联系人的手机畅通，若无法接通招标（竞价）人可按维持一次报价不变或弃标处理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。</w:t>
      </w:r>
    </w:p>
    <w:p>
      <w:pPr>
        <w:pStyle w:val="33"/>
        <w:widowControl/>
        <w:spacing w:line="360" w:lineRule="auto"/>
        <w:ind w:firstLine="480"/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3.1.2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投标截止时间前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投标人可更改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投标报价等信息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，投标截止时间后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无法报价及更改，未报价按弃标处理（注：影响供方评价评级）。投标截止时间前若无法报价，可联系招标（竞价）人，招标（竞价）人可根据项目情况更改截止时间。</w:t>
      </w:r>
    </w:p>
    <w:p>
      <w:pPr>
        <w:pStyle w:val="33"/>
        <w:widowControl/>
        <w:spacing w:line="360" w:lineRule="auto"/>
        <w:rPr>
          <w:rFonts w:hint="eastAsia" w:ascii="仿宋" w:hAnsi="仿宋" w:eastAsia="仿宋" w:cs="仿宋"/>
          <w:b/>
          <w:color w:val="000000"/>
          <w:kern w:val="2"/>
          <w:sz w:val="32"/>
          <w:szCs w:val="32"/>
          <w:lang w:val="zh-TW" w:eastAsia="zh-TW" w:bidi="ar-SA"/>
        </w:rPr>
      </w:pPr>
      <w:r>
        <w:rPr>
          <w:rFonts w:hint="eastAsia" w:ascii="仿宋" w:hAnsi="仿宋" w:eastAsia="仿宋" w:cs="仿宋"/>
          <w:b/>
          <w:color w:val="000000"/>
          <w:kern w:val="2"/>
          <w:sz w:val="32"/>
          <w:szCs w:val="32"/>
          <w:lang w:val="en-US" w:eastAsia="zh-CN" w:bidi="ar-SA"/>
        </w:rPr>
        <w:t>3.2</w:t>
      </w:r>
      <w:r>
        <w:rPr>
          <w:rFonts w:hint="eastAsia" w:ascii="仿宋" w:hAnsi="仿宋" w:eastAsia="仿宋" w:cs="仿宋"/>
          <w:b/>
          <w:color w:val="000000"/>
          <w:kern w:val="2"/>
          <w:sz w:val="32"/>
          <w:szCs w:val="32"/>
          <w:lang w:val="zh-TW" w:eastAsia="zh-CN" w:bidi="ar-SA"/>
        </w:rPr>
        <w:t>评标</w:t>
      </w:r>
    </w:p>
    <w:p>
      <w:pPr>
        <w:pStyle w:val="33"/>
        <w:widowControl/>
        <w:spacing w:line="360" w:lineRule="auto"/>
        <w:ind w:firstLine="480"/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3.2.1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评委组将按采购平台所填报的报价信息为准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。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根据项目要求、报价情况邀请部分投标人参与再次竞价。投标人应在评委规定的时间内尽快进行二次报价，若迟迟未报价，评委组有权按维持原报价处理。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当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平台填写的报价信息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与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上传的报价附件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报价不一致时，以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平台填写信息为准。二次报价价格上涨、延长交货期等需提供正当理由的书面说明，若无正当理由按扰乱竞价环境及相关规定处理。交货期、品牌产地、付款方式等未填写时按满足项目要求处理。对于明细、图纸、技术协议、规格型号等信息未提出澄清、异议的按满足要求处理。</w:t>
      </w:r>
    </w:p>
    <w:p>
      <w:pPr>
        <w:pStyle w:val="33"/>
        <w:widowControl/>
        <w:spacing w:line="360" w:lineRule="auto"/>
        <w:ind w:firstLine="480" w:firstLineChars="15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3.2.2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属于下列情况之一者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视为无效报价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：</w:t>
      </w:r>
    </w:p>
    <w:p>
      <w:pPr>
        <w:pStyle w:val="33"/>
        <w:widowControl/>
        <w:spacing w:line="360" w:lineRule="auto"/>
        <w:ind w:firstLine="640" w:firstLineChars="20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、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未按规定交纳投标保证金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的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。</w:t>
      </w:r>
    </w:p>
    <w:p>
      <w:pPr>
        <w:pStyle w:val="33"/>
        <w:widowControl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b、虚报投标或竞价文件的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。</w:t>
      </w:r>
    </w:p>
    <w:p>
      <w:pPr>
        <w:pStyle w:val="33"/>
        <w:widowControl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c、报价信息有误，拒绝出具说明文件的。</w:t>
      </w:r>
    </w:p>
    <w:p>
      <w:pPr>
        <w:pStyle w:val="33"/>
        <w:widowControl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d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、投标或竞价人之间相互约定，一同抬高或压低报价的或在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、竞价项目中轮流以高价位或低价位中标的。</w:t>
      </w:r>
    </w:p>
    <w:p>
      <w:pPr>
        <w:pStyle w:val="33"/>
        <w:widowControl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e、投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标人或竞价人私下串通，实施损害竞争对手不公平竞争行为的。</w:t>
      </w:r>
    </w:p>
    <w:p>
      <w:pPr>
        <w:pStyle w:val="33"/>
        <w:widowControl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f、其他违反相关法律法规、招标（竞价）及竞价管理办法的行为。</w:t>
      </w:r>
    </w:p>
    <w:p>
      <w:pPr>
        <w:pStyle w:val="33"/>
        <w:widowControl/>
        <w:spacing w:line="360" w:lineRule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3.3中标通知</w:t>
      </w:r>
    </w:p>
    <w:p>
      <w:pPr>
        <w:pStyle w:val="5"/>
        <w:tabs>
          <w:tab w:val="left" w:pos="960"/>
        </w:tabs>
        <w:spacing w:line="360" w:lineRule="auto"/>
        <w:ind w:firstLine="611" w:firstLineChars="191"/>
        <w:rPr>
          <w:rFonts w:hint="eastAsia" w:ascii="仿宋" w:hAnsi="仿宋" w:eastAsia="仿宋" w:cs="仿宋"/>
          <w:b/>
          <w:bCs/>
          <w:sz w:val="32"/>
          <w:szCs w:val="32"/>
          <w:lang w:val="zh-TW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3.3.1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中标人确定后，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人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向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中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标人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通过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中国一重集中采购平台公示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中标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结果，发布公示视为中标通知已送达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。中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标人如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有异议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，须在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接到通知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时间起</w:t>
      </w:r>
      <w:r>
        <w:rPr>
          <w:rFonts w:hint="eastAsia" w:ascii="仿宋" w:hAnsi="仿宋" w:eastAsia="仿宋" w:cs="仿宋"/>
          <w:sz w:val="32"/>
          <w:szCs w:val="32"/>
        </w:rPr>
        <w:t>24小时内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向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人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书面</w:t>
      </w:r>
      <w:r>
        <w:rPr>
          <w:rFonts w:hint="eastAsia" w:ascii="仿宋" w:hAnsi="仿宋" w:eastAsia="仿宋" w:cs="仿宋"/>
          <w:sz w:val="32"/>
          <w:szCs w:val="32"/>
        </w:rPr>
        <w:t>（可以函电）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提出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，逾期将视为无异议。</w:t>
      </w:r>
    </w:p>
    <w:p>
      <w:pPr>
        <w:pStyle w:val="5"/>
        <w:tabs>
          <w:tab w:val="left" w:pos="960"/>
        </w:tabs>
        <w:spacing w:line="360" w:lineRule="auto"/>
        <w:ind w:firstLine="611" w:firstLineChars="191"/>
        <w:rPr>
          <w:rFonts w:hint="eastAsia" w:ascii="仿宋" w:hAnsi="仿宋" w:eastAsia="仿宋" w:cs="仿宋"/>
          <w:b/>
          <w:bCs/>
          <w:sz w:val="32"/>
          <w:szCs w:val="32"/>
          <w:lang w:val="zh-TW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2"/>
          <w:szCs w:val="32"/>
          <w:lang w:val="zh-TW"/>
        </w:rPr>
        <w:t>.3.2</w:t>
      </w:r>
      <w:r>
        <w:rPr>
          <w:rFonts w:hint="eastAsia" w:ascii="仿宋" w:hAnsi="仿宋" w:eastAsia="仿宋" w:cs="仿宋"/>
          <w:bCs/>
          <w:sz w:val="32"/>
          <w:szCs w:val="32"/>
          <w:lang w:val="zh-TW" w:eastAsia="zh-CN"/>
        </w:rPr>
        <w:t>任何单位、个人、组织不得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擅自</w:t>
      </w:r>
      <w:r>
        <w:rPr>
          <w:rFonts w:hint="eastAsia" w:ascii="仿宋" w:hAnsi="仿宋" w:eastAsia="仿宋" w:cs="仿宋"/>
          <w:bCs/>
          <w:sz w:val="32"/>
          <w:szCs w:val="32"/>
          <w:lang w:val="zh-TW" w:eastAsia="zh-CN"/>
        </w:rPr>
        <w:t>更改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中标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结果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。</w:t>
      </w:r>
    </w:p>
    <w:p>
      <w:pPr>
        <w:pStyle w:val="5"/>
        <w:tabs>
          <w:tab w:val="left" w:pos="960"/>
        </w:tabs>
        <w:spacing w:line="360" w:lineRule="auto"/>
        <w:ind w:firstLine="611" w:firstLineChars="191"/>
        <w:rPr>
          <w:rFonts w:hint="eastAsia" w:ascii="仿宋" w:hAnsi="仿宋" w:eastAsia="仿宋" w:cs="仿宋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Cs/>
          <w:sz w:val="32"/>
          <w:szCs w:val="32"/>
          <w:lang w:val="zh-TW"/>
        </w:rPr>
        <w:t>.3.3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文件、中标单位的投标文件及评标过程中的答疑确认文件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、中标通知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均为签订合同的前提条件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，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必要的将作为合同附件，具有法律效力。</w:t>
      </w:r>
    </w:p>
    <w:p>
      <w:pPr>
        <w:pStyle w:val="4"/>
        <w:rPr>
          <w:rFonts w:hint="eastAsia" w:ascii="仿宋" w:hAnsi="仿宋" w:eastAsia="仿宋" w:cs="仿宋"/>
          <w:sz w:val="32"/>
          <w:szCs w:val="32"/>
          <w:lang w:val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.4中标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竞价）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服务费</w:t>
      </w:r>
    </w:p>
    <w:p>
      <w:pPr>
        <w:pStyle w:val="5"/>
        <w:tabs>
          <w:tab w:val="left" w:pos="960"/>
        </w:tabs>
        <w:spacing w:line="360" w:lineRule="auto"/>
        <w:ind w:firstLine="611" w:firstLineChars="191"/>
        <w:rPr>
          <w:rFonts w:hint="eastAsia" w:ascii="仿宋" w:hAnsi="仿宋" w:eastAsia="仿宋" w:cs="仿宋"/>
          <w:b/>
          <w:bCs/>
          <w:sz w:val="32"/>
          <w:szCs w:val="32"/>
          <w:lang w:val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.4.1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中标单位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须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按中标金额向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人交纳一定比例的中标服务费，以同一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编号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、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单份中标通知金额为标准</w:t>
      </w:r>
      <w:r>
        <w:rPr>
          <w:rFonts w:hint="eastAsia" w:ascii="仿宋" w:hAnsi="仿宋" w:eastAsia="仿宋" w:cs="仿宋"/>
          <w:sz w:val="32"/>
          <w:szCs w:val="32"/>
          <w:lang w:val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具体收费标准如下：</w:t>
      </w:r>
    </w:p>
    <w:tbl>
      <w:tblPr>
        <w:tblStyle w:val="29"/>
        <w:tblW w:w="843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2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中标金额（人民币）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费率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≤100 万元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1.0%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＞100 万元且≤500 万元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0.60%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＞500 万元且≤1000 万元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0.40%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＞1000 万元且≤5000 万元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0.25%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＞5000 万元且≤1 亿元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0.15%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＞1 亿元且≤5 亿元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0.015%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＞5 亿元且≤10 亿元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widowControl/>
              <w:jc w:val="both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0.01%</w:t>
            </w:r>
          </w:p>
        </w:tc>
      </w:tr>
    </w:tbl>
    <w:p>
      <w:pPr>
        <w:jc w:val="both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注：收费按差额定率累进法计算。采购项目中标服务费每项最低按照 100 元收取。</w:t>
      </w:r>
    </w:p>
    <w:p>
      <w:pPr>
        <w:pStyle w:val="5"/>
        <w:tabs>
          <w:tab w:val="left" w:pos="960"/>
        </w:tabs>
        <w:spacing w:line="360" w:lineRule="auto"/>
        <w:ind w:firstLine="611" w:firstLineChars="191"/>
        <w:rPr>
          <w:rFonts w:hint="eastAsia" w:ascii="仿宋" w:hAnsi="仿宋" w:eastAsia="仿宋" w:cs="仿宋"/>
          <w:bCs/>
          <w:sz w:val="32"/>
          <w:szCs w:val="32"/>
          <w:lang w:val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.4.2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中标服务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zh-TW" w:eastAsia="zh-TW"/>
        </w:rPr>
        <w:t>费以</w:t>
      </w:r>
      <w:r>
        <w:rPr>
          <w:rFonts w:hint="eastAsia" w:ascii="仿宋" w:hAnsi="仿宋" w:eastAsia="仿宋" w:cs="仿宋"/>
          <w:sz w:val="32"/>
          <w:szCs w:val="32"/>
          <w:highlight w:val="none"/>
          <w:lang w:val="zh-TW" w:eastAsia="zh-CN"/>
        </w:rPr>
        <w:t>电汇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zh-TW" w:eastAsia="zh-TW"/>
        </w:rPr>
        <w:t>形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式交纳。</w:t>
      </w:r>
    </w:p>
    <w:p>
      <w:pPr>
        <w:pStyle w:val="5"/>
        <w:tabs>
          <w:tab w:val="left" w:pos="960"/>
        </w:tabs>
        <w:spacing w:line="360" w:lineRule="auto"/>
        <w:ind w:firstLine="611" w:firstLineChars="191"/>
        <w:rPr>
          <w:rFonts w:hint="eastAsia" w:ascii="仿宋" w:hAnsi="仿宋" w:eastAsia="仿宋" w:cs="仿宋"/>
          <w:bCs/>
          <w:color w:val="auto"/>
          <w:sz w:val="32"/>
          <w:szCs w:val="32"/>
          <w:lang w:val="zh-TW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.4.3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中标服务费须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交：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中国第一重型机械股份公司采购中心财务部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  <w:t>户名：</w:t>
      </w:r>
      <w:r>
        <w:rPr>
          <w:rFonts w:hint="eastAsia" w:ascii="仿宋" w:hAnsi="仿宋" w:eastAsia="仿宋" w:cs="仿宋"/>
          <w:b w:val="0"/>
          <w:bCs/>
          <w:sz w:val="32"/>
          <w:szCs w:val="32"/>
          <w:u w:val="none"/>
          <w:lang w:eastAsia="zh-CN"/>
        </w:rPr>
        <w:t>中国第一重型机械股份公司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  <w:t>开户行：中国银行股份有限公司齐齐哈尔富拉尔基支行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  <w:t>账号：170221954478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lang w:val="zh-TW" w:eastAsia="zh-TW"/>
        </w:rPr>
        <w:t>行号：104264000051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备注：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>****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eastAsia="zh-CN"/>
        </w:rPr>
        <w:t>项目中标服务费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eastAsia="zh-CN"/>
        </w:rPr>
        <w:t>招标（竞价）</w:t>
      </w:r>
      <w:r>
        <w:rPr>
          <w:rFonts w:hint="eastAsia" w:ascii="仿宋" w:hAnsi="仿宋" w:eastAsia="仿宋" w:cs="仿宋"/>
          <w:bCs/>
          <w:sz w:val="32"/>
          <w:szCs w:val="32"/>
          <w:u w:val="single"/>
        </w:rPr>
        <w:t>编号：</w:t>
      </w:r>
      <w:r>
        <w:rPr>
          <w:rFonts w:hint="eastAsia" w:ascii="仿宋" w:hAnsi="仿宋" w:eastAsia="仿宋" w:cs="仿宋"/>
          <w:bCs/>
          <w:sz w:val="32"/>
          <w:szCs w:val="32"/>
          <w:u w:val="single"/>
          <w:lang w:val="en-US" w:eastAsia="zh-CN"/>
        </w:rPr>
        <w:t xml:space="preserve">           。</w:t>
      </w:r>
    </w:p>
    <w:p>
      <w:pPr>
        <w:pStyle w:val="5"/>
        <w:tabs>
          <w:tab w:val="left" w:pos="960"/>
        </w:tabs>
        <w:spacing w:line="360" w:lineRule="auto"/>
        <w:ind w:firstLine="931" w:firstLineChars="291"/>
        <w:rPr>
          <w:rFonts w:hint="eastAsia" w:ascii="仿宋" w:hAnsi="仿宋" w:eastAsia="仿宋" w:cs="仿宋"/>
          <w:bCs/>
          <w:sz w:val="32"/>
          <w:szCs w:val="32"/>
          <w:u w:val="single"/>
          <w:lang w:val="zh-TW" w:eastAsia="zh-CN"/>
        </w:rPr>
      </w:pPr>
    </w:p>
    <w:p>
      <w:pPr>
        <w:pStyle w:val="4"/>
        <w:rPr>
          <w:rFonts w:hint="eastAsia" w:ascii="仿宋" w:hAnsi="仿宋" w:eastAsia="仿宋" w:cs="仿宋"/>
          <w:sz w:val="32"/>
          <w:szCs w:val="32"/>
          <w:lang w:val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合同的签署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b/>
          <w:bCs/>
          <w:sz w:val="32"/>
          <w:szCs w:val="32"/>
          <w:lang w:val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3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.1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中标单位应在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人发出中标通知后</w:t>
      </w:r>
      <w:r>
        <w:rPr>
          <w:rFonts w:hint="eastAsia" w:ascii="仿宋" w:hAnsi="仿宋" w:eastAsia="仿宋" w:cs="仿宋"/>
          <w:sz w:val="32"/>
          <w:szCs w:val="32"/>
        </w:rPr>
        <w:t>30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天内缴纳中标服务费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并与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采购单位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签订合同。</w:t>
      </w:r>
    </w:p>
    <w:p>
      <w:pPr>
        <w:pStyle w:val="5"/>
        <w:tabs>
          <w:tab w:val="left" w:pos="960"/>
        </w:tabs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.2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若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中标单位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原因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未按时签订合同，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人将有权废除该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中标结果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，并扣除其投标保证金。</w:t>
      </w:r>
    </w:p>
    <w:p>
      <w:pPr>
        <w:pStyle w:val="5"/>
        <w:tabs>
          <w:tab w:val="left" w:pos="960"/>
        </w:tabs>
        <w:spacing w:line="360" w:lineRule="auto"/>
        <w:ind w:firstLine="640" w:firstLineChars="200"/>
        <w:rPr>
          <w:rFonts w:hint="eastAsia" w:ascii="仿宋" w:hAnsi="仿宋" w:eastAsia="仿宋" w:cs="仿宋"/>
          <w:b/>
          <w:bCs/>
          <w:sz w:val="32"/>
          <w:szCs w:val="32"/>
          <w:lang w:val="zh-TW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.3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如因不可抗力原因导致的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招标（竞价）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人或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中标</w:t>
      </w:r>
      <w:r>
        <w:rPr>
          <w:rFonts w:hint="eastAsia" w:ascii="仿宋" w:hAnsi="仿宋" w:eastAsia="仿宋" w:cs="仿宋"/>
          <w:sz w:val="32"/>
          <w:szCs w:val="32"/>
          <w:lang w:val="zh-TW" w:eastAsia="zh-TW"/>
        </w:rPr>
        <w:t>人无法签订合同的，可不承担相应责任。</w:t>
      </w:r>
    </w:p>
    <w:p>
      <w:pPr>
        <w:pStyle w:val="5"/>
        <w:tabs>
          <w:tab w:val="left" w:pos="960"/>
        </w:tabs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pStyle w:val="5"/>
        <w:numPr>
          <w:ilvl w:val="0"/>
          <w:numId w:val="0"/>
        </w:numPr>
        <w:spacing w:before="120" w:line="360" w:lineRule="auto"/>
        <w:jc w:val="center"/>
        <w:outlineLvl w:val="0"/>
        <w:rPr>
          <w:rFonts w:hint="eastAsia" w:ascii="仿宋" w:hAnsi="仿宋" w:eastAsia="仿宋" w:cs="仿宋"/>
          <w:b/>
          <w:sz w:val="32"/>
          <w:szCs w:val="32"/>
          <w:lang w:val="zh-TW" w:eastAsia="zh-TW"/>
        </w:rPr>
      </w:pPr>
      <w:r>
        <w:rPr>
          <w:rFonts w:hint="eastAsia" w:ascii="仿宋" w:hAnsi="仿宋" w:eastAsia="仿宋" w:cs="仿宋"/>
          <w:b/>
          <w:sz w:val="32"/>
          <w:szCs w:val="32"/>
          <w:lang w:val="zh-TW" w:eastAsia="zh-CN"/>
        </w:rPr>
        <w:t>第四章  招标（竞价）过程争议及纠纷的解决</w:t>
      </w:r>
    </w:p>
    <w:p>
      <w:pPr>
        <w:pStyle w:val="5"/>
        <w:tabs>
          <w:tab w:val="left" w:pos="960"/>
        </w:tabs>
        <w:spacing w:line="360" w:lineRule="auto"/>
        <w:ind w:firstLine="480" w:firstLineChars="150"/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4.1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TW" w:bidi="ar-SA"/>
        </w:rPr>
        <w:t>招、投标双方友好协商解决；</w:t>
      </w:r>
    </w:p>
    <w:p>
      <w:pPr>
        <w:pStyle w:val="5"/>
        <w:tabs>
          <w:tab w:val="left" w:pos="960"/>
        </w:tabs>
        <w:spacing w:line="360" w:lineRule="auto"/>
        <w:ind w:firstLine="480" w:firstLineChars="150"/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4.2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TW" w:bidi="ar-SA"/>
        </w:rPr>
        <w:t>协商不成时，通过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CN" w:bidi="ar-SA"/>
        </w:rPr>
        <w:t>招标（竞价）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TW" w:bidi="ar-SA"/>
        </w:rPr>
        <w:t>人所在地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CN" w:bidi="ar-SA"/>
        </w:rPr>
        <w:t>招标（竞价）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TW" w:bidi="ar-SA"/>
        </w:rPr>
        <w:t>仲裁机构仲裁解决；</w:t>
      </w:r>
    </w:p>
    <w:p>
      <w:pPr>
        <w:pStyle w:val="5"/>
        <w:tabs>
          <w:tab w:val="left" w:pos="960"/>
        </w:tabs>
        <w:spacing w:line="360" w:lineRule="auto"/>
        <w:ind w:firstLine="480" w:firstLineChars="15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4.3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TW" w:bidi="ar-SA"/>
        </w:rPr>
        <w:t>对仲裁不服的，向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CN" w:bidi="ar-SA"/>
        </w:rPr>
        <w:t>招标（竞价）</w:t>
      </w: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zh-TW" w:eastAsia="zh-TW" w:bidi="ar-SA"/>
        </w:rPr>
        <w:t>人所在地人民法院提起诉讼。</w:t>
      </w:r>
    </w:p>
    <w:bookmarkEnd w:id="0"/>
    <w:bookmarkEnd w:id="1"/>
    <w:bookmarkEnd w:id="2"/>
    <w:bookmarkEnd w:id="3"/>
    <w:p>
      <w:pPr>
        <w:widowControl/>
        <w:snapToGrid/>
        <w:spacing w:line="240" w:lineRule="auto"/>
        <w:ind w:firstLine="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</w:pPr>
    </w:p>
    <w:p>
      <w:pP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</w:rPr>
      </w:pPr>
    </w:p>
    <w:p>
      <w:pPr>
        <w:pStyle w:val="5"/>
        <w:spacing w:before="240" w:after="240" w:line="480" w:lineRule="atLeast"/>
        <w:jc w:val="both"/>
        <w:rPr>
          <w:rFonts w:hint="eastAsia" w:ascii="仿宋" w:hAnsi="仿宋" w:eastAsia="仿宋" w:cs="仿宋"/>
          <w:sz w:val="32"/>
          <w:szCs w:val="32"/>
          <w:lang w:val="zh-TW" w:eastAsia="zh-TW"/>
        </w:rPr>
      </w:pPr>
    </w:p>
    <w:sectPr>
      <w:footerReference r:id="rId7" w:type="default"/>
      <w:pgSz w:w="11900" w:h="16840"/>
      <w:pgMar w:top="1474" w:right="1701" w:bottom="1418" w:left="1758" w:header="851" w:footer="1134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rPr>
        <w:rFonts w:ascii="Times New Roman" w:hAnsi="Times New Roman" w:eastAsia="Arial Unicode MS" w:cs="Arial Unicode MS"/>
        <w:color w:val="000000"/>
        <w:kern w:val="2"/>
        <w:sz w:val="18"/>
        <w:szCs w:val="18"/>
        <w:u w:val="single"/>
        <w:lang w:val="en-US" w:eastAsia="zh-C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ebI3OL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rPr>
        <w:rFonts w:ascii="Times New Roman" w:hAnsi="Times New Roman" w:eastAsia="Arial Unicode MS" w:cs="Arial Unicode MS"/>
        <w:color w:val="000000"/>
        <w:kern w:val="2"/>
        <w:sz w:val="18"/>
        <w:szCs w:val="18"/>
        <w:u w:val="single"/>
        <w:lang w:val="en-US" w:eastAsia="zh-C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PqH9ibgBAABU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w:rPr>
        <w:rFonts w:ascii="Times New Roman" w:hAnsi="Times New Roman" w:eastAsia="Arial Unicode MS" w:cs="Arial Unicode MS"/>
        <w:color w:val="000000"/>
        <w:kern w:val="2"/>
        <w:sz w:val="18"/>
        <w:szCs w:val="18"/>
        <w:u w:val="single"/>
        <w:lang w:val="en-US" w:eastAsia="zh-CN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9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6p&#10;ebnPAAAABQEAAA8AAAAAAAAAAQAgAAAAIgAAAGRycy9kb3ducmV2LnhtbFBLAQIUABQAAAAIAIdO&#10;4kDnBIqmugEAAFcDAAAOAAAAAAAAAAEAIAAAAB4BAABkcnMvZTJvRG9jLnhtbFBLBQYAAAAABgAG&#10;AFkBAAB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single" w:color="auto" w:sz="6" w:space="2"/>
      </w:pBdr>
      <w:spacing w:line="240" w:lineRule="auto"/>
      <w:ind w:firstLine="0"/>
      <w:jc w:val="both"/>
    </w:pPr>
    <w:r>
      <w:rPr>
        <w:rFonts w:hint="eastAsia"/>
        <w:sz w:val="21"/>
        <w:szCs w:val="21"/>
        <w:u w:val="none"/>
      </w:rPr>
      <w:t xml:space="preserve">        </w:t>
    </w:r>
    <w:r>
      <w:rPr>
        <w:rFonts w:hint="eastAsia" w:ascii="黑体" w:hAnsi="Times New Roman" w:eastAsia="黑体" w:cs="Times New Roman"/>
        <w:sz w:val="44"/>
        <w:szCs w:val="18"/>
        <w:u w:val="single"/>
        <w:lang w:val="en-US" w:eastAsia="zh-CN"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-106680</wp:posOffset>
          </wp:positionH>
          <wp:positionV relativeFrom="paragraph">
            <wp:posOffset>-162560</wp:posOffset>
          </wp:positionV>
          <wp:extent cx="338455" cy="501015"/>
          <wp:effectExtent l="0" t="0" r="4445" b="13335"/>
          <wp:wrapNone/>
          <wp:docPr id="4" name="图片 1027" descr="标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027" descr="标志"/>
                  <pic:cNvPicPr>
                    <a:picLocks noChangeAspect="1"/>
                  </pic:cNvPicPr>
                </pic:nvPicPr>
                <pic:blipFill>
                  <a:blip r:embed="rId1">
                    <a:lum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455" cy="5010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z w:val="21"/>
        <w:szCs w:val="21"/>
        <w:u w:val="none"/>
      </w:rPr>
      <w:t xml:space="preserve">                        </w:t>
    </w:r>
    <w:r>
      <w:rPr>
        <w:rFonts w:hint="eastAsia"/>
        <w:sz w:val="21"/>
        <w:szCs w:val="21"/>
        <w:u w:val="none"/>
        <w:lang w:eastAsia="zh-CN"/>
      </w:rPr>
      <w:t>中国</w:t>
    </w:r>
    <w:r>
      <w:rPr>
        <w:rFonts w:hint="eastAsia"/>
        <w:sz w:val="21"/>
        <w:szCs w:val="21"/>
        <w:u w:val="none"/>
        <w:lang w:val="en-US" w:eastAsia="zh-CN"/>
      </w:rPr>
      <w:t>一重集团有限公司最低价法</w:t>
    </w:r>
    <w:r>
      <w:rPr>
        <w:rFonts w:hint="eastAsia"/>
        <w:sz w:val="21"/>
        <w:szCs w:val="21"/>
        <w:u w:val="none"/>
        <w:lang w:eastAsia="zh-CN"/>
      </w:rPr>
      <w:t>招标（竞价）</w:t>
    </w:r>
    <w:r>
      <w:rPr>
        <w:rFonts w:hint="eastAsia"/>
        <w:sz w:val="21"/>
        <w:szCs w:val="21"/>
        <w:u w:val="none"/>
        <w:lang w:val="en-US" w:eastAsia="zh-CN"/>
      </w:rPr>
      <w:t>标准</w:t>
    </w:r>
    <w:r>
      <w:rPr>
        <w:sz w:val="21"/>
        <w:szCs w:val="21"/>
        <w:u w:val="none"/>
      </w:rPr>
      <w:t>文件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single" w:color="auto" w:sz="6" w:space="2"/>
      </w:pBdr>
      <w:spacing w:line="240" w:lineRule="auto"/>
      <w:ind w:firstLine="0"/>
      <w:jc w:val="both"/>
      <w:rPr>
        <w:sz w:val="21"/>
        <w:szCs w:val="21"/>
        <w:u w:val="none"/>
      </w:rPr>
    </w:pPr>
    <w:r>
      <w:rPr>
        <w:rFonts w:hint="eastAsia" w:ascii="黑体" w:hAnsi="Times New Roman" w:eastAsia="黑体" w:cs="Times New Roman"/>
        <w:sz w:val="44"/>
        <w:szCs w:val="18"/>
        <w:u w:val="single"/>
        <w:lang w:val="en-US" w:eastAsia="zh-CN" w:bidi="ar-SA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-106680</wp:posOffset>
          </wp:positionH>
          <wp:positionV relativeFrom="paragraph">
            <wp:posOffset>-162560</wp:posOffset>
          </wp:positionV>
          <wp:extent cx="338455" cy="501015"/>
          <wp:effectExtent l="0" t="0" r="4445" b="13335"/>
          <wp:wrapNone/>
          <wp:docPr id="3" name="Picture 2" descr="标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标志"/>
                  <pic:cNvPicPr>
                    <a:picLocks noChangeAspect="1"/>
                  </pic:cNvPicPr>
                </pic:nvPicPr>
                <pic:blipFill>
                  <a:blip r:embed="rId1">
                    <a:lum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455" cy="5010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z w:val="21"/>
        <w:szCs w:val="21"/>
        <w:u w:val="none"/>
      </w:rPr>
      <w:t xml:space="preserve">                                 </w:t>
    </w:r>
    <w:r>
      <w:rPr>
        <w:rFonts w:hint="eastAsia"/>
        <w:sz w:val="21"/>
        <w:szCs w:val="21"/>
        <w:u w:val="none"/>
        <w:lang w:eastAsia="zh-CN"/>
      </w:rPr>
      <w:t>中国一重</w:t>
    </w:r>
    <w:r>
      <w:rPr>
        <w:rFonts w:hint="eastAsia"/>
        <w:sz w:val="21"/>
        <w:szCs w:val="21"/>
        <w:u w:val="none"/>
        <w:lang w:val="en-US" w:eastAsia="zh-CN"/>
      </w:rPr>
      <w:t>集团有限公司最低价法</w:t>
    </w:r>
    <w:r>
      <w:rPr>
        <w:rFonts w:hint="eastAsia"/>
        <w:sz w:val="21"/>
        <w:szCs w:val="21"/>
        <w:u w:val="none"/>
        <w:lang w:eastAsia="zh-CN"/>
      </w:rPr>
      <w:t>招标（竞价）</w:t>
    </w:r>
    <w:r>
      <w:rPr>
        <w:rFonts w:hint="eastAsia"/>
        <w:sz w:val="21"/>
        <w:szCs w:val="21"/>
        <w:u w:val="none"/>
        <w:lang w:val="en-US" w:eastAsia="zh-CN"/>
      </w:rPr>
      <w:t>标准</w:t>
    </w:r>
    <w:r>
      <w:rPr>
        <w:sz w:val="21"/>
        <w:szCs w:val="21"/>
        <w:u w:val="none"/>
      </w:rPr>
      <w:t>文件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B196F"/>
    <w:multiLevelType w:val="singleLevel"/>
    <w:tmpl w:val="662B196F"/>
    <w:lvl w:ilvl="0" w:tentative="0">
      <w:start w:val="3"/>
      <w:numFmt w:val="chineseCounting"/>
      <w:suff w:val="space"/>
      <w:lvlText w:val="第%1章"/>
      <w:lvlJc w:val="left"/>
    </w:lvl>
  </w:abstractNum>
  <w:abstractNum w:abstractNumId="1">
    <w:nsid w:val="786F6BE5"/>
    <w:multiLevelType w:val="singleLevel"/>
    <w:tmpl w:val="786F6BE5"/>
    <w:lvl w:ilvl="0" w:tentative="0">
      <w:start w:val="2"/>
      <w:numFmt w:val="chineseCounting"/>
      <w:suff w:val="space"/>
      <w:lvlText w:val="第%1章"/>
      <w:lvlJc w:val="left"/>
      <w:pPr>
        <w:ind w:left="2720" w:leftChars="0" w:firstLine="0" w:firstLineChars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HorizontalSpacing w:val="1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3,4"/>
    </o:shapelayout>
  </w:hdrShapeDefaults>
  <w:compat>
    <w:spaceForUL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MzM0OTEyZDQ1MjVhYWIxYzA1NGNjYjhkYzM3NzEifQ=="/>
  </w:docVars>
  <w:rsids>
    <w:rsidRoot w:val="00C47CEE"/>
    <w:rsid w:val="000035A8"/>
    <w:rsid w:val="00006D9A"/>
    <w:rsid w:val="00007F0D"/>
    <w:rsid w:val="00013715"/>
    <w:rsid w:val="000165CC"/>
    <w:rsid w:val="00020292"/>
    <w:rsid w:val="00021FCA"/>
    <w:rsid w:val="00022BDF"/>
    <w:rsid w:val="00026010"/>
    <w:rsid w:val="00026316"/>
    <w:rsid w:val="00027884"/>
    <w:rsid w:val="00030360"/>
    <w:rsid w:val="00031A41"/>
    <w:rsid w:val="00040B74"/>
    <w:rsid w:val="0004199B"/>
    <w:rsid w:val="000428FA"/>
    <w:rsid w:val="00042F58"/>
    <w:rsid w:val="0004370D"/>
    <w:rsid w:val="0005705D"/>
    <w:rsid w:val="000602CE"/>
    <w:rsid w:val="00064530"/>
    <w:rsid w:val="0007132A"/>
    <w:rsid w:val="00074D46"/>
    <w:rsid w:val="00075AEB"/>
    <w:rsid w:val="000830D5"/>
    <w:rsid w:val="00084ACA"/>
    <w:rsid w:val="00086200"/>
    <w:rsid w:val="00091D6C"/>
    <w:rsid w:val="00097A1C"/>
    <w:rsid w:val="000A28CD"/>
    <w:rsid w:val="000A32BF"/>
    <w:rsid w:val="000A3CC5"/>
    <w:rsid w:val="000A6C7F"/>
    <w:rsid w:val="000B522C"/>
    <w:rsid w:val="000B5800"/>
    <w:rsid w:val="000B7DF0"/>
    <w:rsid w:val="000C64ED"/>
    <w:rsid w:val="000D276A"/>
    <w:rsid w:val="000D4881"/>
    <w:rsid w:val="000E12AC"/>
    <w:rsid w:val="000E6E14"/>
    <w:rsid w:val="000F6840"/>
    <w:rsid w:val="000F6DEC"/>
    <w:rsid w:val="00100FF7"/>
    <w:rsid w:val="00114E8F"/>
    <w:rsid w:val="001163C1"/>
    <w:rsid w:val="0012123A"/>
    <w:rsid w:val="00121BFA"/>
    <w:rsid w:val="00122FE5"/>
    <w:rsid w:val="00125077"/>
    <w:rsid w:val="00126015"/>
    <w:rsid w:val="00127193"/>
    <w:rsid w:val="001302CE"/>
    <w:rsid w:val="00130A65"/>
    <w:rsid w:val="0013578D"/>
    <w:rsid w:val="00146FEE"/>
    <w:rsid w:val="0016003E"/>
    <w:rsid w:val="00162CA4"/>
    <w:rsid w:val="00166B07"/>
    <w:rsid w:val="001701ED"/>
    <w:rsid w:val="0017317A"/>
    <w:rsid w:val="001750AA"/>
    <w:rsid w:val="00176764"/>
    <w:rsid w:val="00177B38"/>
    <w:rsid w:val="00180CB9"/>
    <w:rsid w:val="00187BF7"/>
    <w:rsid w:val="0019183A"/>
    <w:rsid w:val="00191AF6"/>
    <w:rsid w:val="00194604"/>
    <w:rsid w:val="00195EDC"/>
    <w:rsid w:val="0019732C"/>
    <w:rsid w:val="0019772A"/>
    <w:rsid w:val="001A07C0"/>
    <w:rsid w:val="001A115A"/>
    <w:rsid w:val="001A2BC8"/>
    <w:rsid w:val="001A3E30"/>
    <w:rsid w:val="001B2CC0"/>
    <w:rsid w:val="001C050C"/>
    <w:rsid w:val="001C5C1B"/>
    <w:rsid w:val="001D3572"/>
    <w:rsid w:val="001D4136"/>
    <w:rsid w:val="001D7425"/>
    <w:rsid w:val="001D7E99"/>
    <w:rsid w:val="001F0C47"/>
    <w:rsid w:val="001F4CFC"/>
    <w:rsid w:val="001F6CAD"/>
    <w:rsid w:val="001F6DA1"/>
    <w:rsid w:val="0020057D"/>
    <w:rsid w:val="002010B2"/>
    <w:rsid w:val="00201E5C"/>
    <w:rsid w:val="0021562E"/>
    <w:rsid w:val="002211E0"/>
    <w:rsid w:val="00221FF5"/>
    <w:rsid w:val="00226AB8"/>
    <w:rsid w:val="002301AF"/>
    <w:rsid w:val="00234A84"/>
    <w:rsid w:val="00236BA6"/>
    <w:rsid w:val="00243537"/>
    <w:rsid w:val="002468E2"/>
    <w:rsid w:val="00246C26"/>
    <w:rsid w:val="00247084"/>
    <w:rsid w:val="002531EF"/>
    <w:rsid w:val="00254793"/>
    <w:rsid w:val="00264171"/>
    <w:rsid w:val="00264E17"/>
    <w:rsid w:val="002650E3"/>
    <w:rsid w:val="002705DA"/>
    <w:rsid w:val="00270D85"/>
    <w:rsid w:val="002752CE"/>
    <w:rsid w:val="002769BB"/>
    <w:rsid w:val="002800D4"/>
    <w:rsid w:val="00287E29"/>
    <w:rsid w:val="00294C52"/>
    <w:rsid w:val="00294E76"/>
    <w:rsid w:val="002A176F"/>
    <w:rsid w:val="002A570B"/>
    <w:rsid w:val="002A6592"/>
    <w:rsid w:val="002B04DE"/>
    <w:rsid w:val="002B72C9"/>
    <w:rsid w:val="002B7E12"/>
    <w:rsid w:val="002C0919"/>
    <w:rsid w:val="002C35C0"/>
    <w:rsid w:val="002C3B34"/>
    <w:rsid w:val="002C7D3A"/>
    <w:rsid w:val="002D31B9"/>
    <w:rsid w:val="002D61ED"/>
    <w:rsid w:val="002E1A8D"/>
    <w:rsid w:val="002E2BA0"/>
    <w:rsid w:val="002E66FE"/>
    <w:rsid w:val="002E6BE2"/>
    <w:rsid w:val="002F0EE4"/>
    <w:rsid w:val="002F18A3"/>
    <w:rsid w:val="002F565C"/>
    <w:rsid w:val="002F661C"/>
    <w:rsid w:val="002F6C39"/>
    <w:rsid w:val="0030799D"/>
    <w:rsid w:val="00311B31"/>
    <w:rsid w:val="00313321"/>
    <w:rsid w:val="0031363D"/>
    <w:rsid w:val="00317916"/>
    <w:rsid w:val="00317F5E"/>
    <w:rsid w:val="00323EA9"/>
    <w:rsid w:val="00324F1C"/>
    <w:rsid w:val="00331EBF"/>
    <w:rsid w:val="0033540B"/>
    <w:rsid w:val="00340411"/>
    <w:rsid w:val="00340919"/>
    <w:rsid w:val="00341899"/>
    <w:rsid w:val="00342854"/>
    <w:rsid w:val="00343A3F"/>
    <w:rsid w:val="00345FA1"/>
    <w:rsid w:val="0034722F"/>
    <w:rsid w:val="00352605"/>
    <w:rsid w:val="003566F4"/>
    <w:rsid w:val="003605A4"/>
    <w:rsid w:val="00367AA5"/>
    <w:rsid w:val="00375580"/>
    <w:rsid w:val="00377536"/>
    <w:rsid w:val="00382337"/>
    <w:rsid w:val="00382D7C"/>
    <w:rsid w:val="003873B7"/>
    <w:rsid w:val="00393F73"/>
    <w:rsid w:val="003949EE"/>
    <w:rsid w:val="003966DF"/>
    <w:rsid w:val="003B085F"/>
    <w:rsid w:val="003C19E9"/>
    <w:rsid w:val="003C31DC"/>
    <w:rsid w:val="003C573A"/>
    <w:rsid w:val="003D09F1"/>
    <w:rsid w:val="003D12E7"/>
    <w:rsid w:val="003E64AE"/>
    <w:rsid w:val="003E659C"/>
    <w:rsid w:val="003E6AB3"/>
    <w:rsid w:val="003F10DB"/>
    <w:rsid w:val="003F2A73"/>
    <w:rsid w:val="003F347C"/>
    <w:rsid w:val="003F72B2"/>
    <w:rsid w:val="00401BB0"/>
    <w:rsid w:val="0041316F"/>
    <w:rsid w:val="00416EEB"/>
    <w:rsid w:val="00421FB2"/>
    <w:rsid w:val="00423715"/>
    <w:rsid w:val="00436C1E"/>
    <w:rsid w:val="00437085"/>
    <w:rsid w:val="00437A37"/>
    <w:rsid w:val="00441E4E"/>
    <w:rsid w:val="00443250"/>
    <w:rsid w:val="004461EA"/>
    <w:rsid w:val="00447C5F"/>
    <w:rsid w:val="0046438C"/>
    <w:rsid w:val="00472F6C"/>
    <w:rsid w:val="00480429"/>
    <w:rsid w:val="004819BA"/>
    <w:rsid w:val="00490A25"/>
    <w:rsid w:val="004960C8"/>
    <w:rsid w:val="004963A1"/>
    <w:rsid w:val="004A257F"/>
    <w:rsid w:val="004A4A72"/>
    <w:rsid w:val="004B0A49"/>
    <w:rsid w:val="004B0AD0"/>
    <w:rsid w:val="004B414C"/>
    <w:rsid w:val="004B7E2B"/>
    <w:rsid w:val="004C0988"/>
    <w:rsid w:val="004C2D21"/>
    <w:rsid w:val="004C5C67"/>
    <w:rsid w:val="004C6AFC"/>
    <w:rsid w:val="004D0EFC"/>
    <w:rsid w:val="004D40E8"/>
    <w:rsid w:val="004D4A03"/>
    <w:rsid w:val="004D4B7A"/>
    <w:rsid w:val="004D57CA"/>
    <w:rsid w:val="004D5CBD"/>
    <w:rsid w:val="004D60AC"/>
    <w:rsid w:val="004D625C"/>
    <w:rsid w:val="004E0519"/>
    <w:rsid w:val="004E1316"/>
    <w:rsid w:val="004E3A5E"/>
    <w:rsid w:val="004E4041"/>
    <w:rsid w:val="004F43F1"/>
    <w:rsid w:val="004F47A7"/>
    <w:rsid w:val="004F5897"/>
    <w:rsid w:val="004F5C47"/>
    <w:rsid w:val="004F6A5A"/>
    <w:rsid w:val="00501D19"/>
    <w:rsid w:val="005029F3"/>
    <w:rsid w:val="005055F7"/>
    <w:rsid w:val="005060C7"/>
    <w:rsid w:val="00507E28"/>
    <w:rsid w:val="00510895"/>
    <w:rsid w:val="00512117"/>
    <w:rsid w:val="00512CB8"/>
    <w:rsid w:val="005137AE"/>
    <w:rsid w:val="00513F8E"/>
    <w:rsid w:val="00523845"/>
    <w:rsid w:val="0052750A"/>
    <w:rsid w:val="00532A22"/>
    <w:rsid w:val="0054517A"/>
    <w:rsid w:val="00550D26"/>
    <w:rsid w:val="00552F1E"/>
    <w:rsid w:val="00555486"/>
    <w:rsid w:val="005601F8"/>
    <w:rsid w:val="00562995"/>
    <w:rsid w:val="005636C3"/>
    <w:rsid w:val="00564086"/>
    <w:rsid w:val="00564930"/>
    <w:rsid w:val="00565E6A"/>
    <w:rsid w:val="005662BB"/>
    <w:rsid w:val="00577CBD"/>
    <w:rsid w:val="005853D1"/>
    <w:rsid w:val="00585DCB"/>
    <w:rsid w:val="00596000"/>
    <w:rsid w:val="005A0F20"/>
    <w:rsid w:val="005A41A7"/>
    <w:rsid w:val="005A5C6E"/>
    <w:rsid w:val="005A6691"/>
    <w:rsid w:val="005B3AB8"/>
    <w:rsid w:val="005B44E6"/>
    <w:rsid w:val="005C07EF"/>
    <w:rsid w:val="005C1D8C"/>
    <w:rsid w:val="005C4A30"/>
    <w:rsid w:val="005D0751"/>
    <w:rsid w:val="005F057C"/>
    <w:rsid w:val="005F36AA"/>
    <w:rsid w:val="005F376D"/>
    <w:rsid w:val="006055CC"/>
    <w:rsid w:val="006060E9"/>
    <w:rsid w:val="0060717D"/>
    <w:rsid w:val="006105D7"/>
    <w:rsid w:val="00611230"/>
    <w:rsid w:val="0061214C"/>
    <w:rsid w:val="00612AF1"/>
    <w:rsid w:val="0061615F"/>
    <w:rsid w:val="00616E45"/>
    <w:rsid w:val="00622757"/>
    <w:rsid w:val="00631D47"/>
    <w:rsid w:val="0063500F"/>
    <w:rsid w:val="00636B36"/>
    <w:rsid w:val="0064093D"/>
    <w:rsid w:val="006437CF"/>
    <w:rsid w:val="00645B68"/>
    <w:rsid w:val="00650C4B"/>
    <w:rsid w:val="00654A3A"/>
    <w:rsid w:val="00655430"/>
    <w:rsid w:val="006556A9"/>
    <w:rsid w:val="006559F2"/>
    <w:rsid w:val="00657CBA"/>
    <w:rsid w:val="0066134E"/>
    <w:rsid w:val="00670BF4"/>
    <w:rsid w:val="00673E7D"/>
    <w:rsid w:val="006753D9"/>
    <w:rsid w:val="00680364"/>
    <w:rsid w:val="006809D5"/>
    <w:rsid w:val="00682144"/>
    <w:rsid w:val="00682485"/>
    <w:rsid w:val="006870F7"/>
    <w:rsid w:val="00694707"/>
    <w:rsid w:val="006A1BF4"/>
    <w:rsid w:val="006A35D3"/>
    <w:rsid w:val="006A5EC3"/>
    <w:rsid w:val="006A7D69"/>
    <w:rsid w:val="006A7E5D"/>
    <w:rsid w:val="006B196F"/>
    <w:rsid w:val="006B6378"/>
    <w:rsid w:val="006C07B1"/>
    <w:rsid w:val="006C18C5"/>
    <w:rsid w:val="006C2370"/>
    <w:rsid w:val="006C4B62"/>
    <w:rsid w:val="006C5675"/>
    <w:rsid w:val="006C6B27"/>
    <w:rsid w:val="006C776B"/>
    <w:rsid w:val="006D21A5"/>
    <w:rsid w:val="006D4AC0"/>
    <w:rsid w:val="006D52B2"/>
    <w:rsid w:val="006E1EA5"/>
    <w:rsid w:val="006E44E0"/>
    <w:rsid w:val="006E6AAF"/>
    <w:rsid w:val="006E704D"/>
    <w:rsid w:val="006F2A16"/>
    <w:rsid w:val="006F2ECD"/>
    <w:rsid w:val="00702E50"/>
    <w:rsid w:val="00703E9A"/>
    <w:rsid w:val="00715E0E"/>
    <w:rsid w:val="007412E7"/>
    <w:rsid w:val="00741915"/>
    <w:rsid w:val="00741FD6"/>
    <w:rsid w:val="0074334F"/>
    <w:rsid w:val="00743BC8"/>
    <w:rsid w:val="007449C7"/>
    <w:rsid w:val="00747C38"/>
    <w:rsid w:val="007553B6"/>
    <w:rsid w:val="00760181"/>
    <w:rsid w:val="00763651"/>
    <w:rsid w:val="00763903"/>
    <w:rsid w:val="00765FC4"/>
    <w:rsid w:val="00770250"/>
    <w:rsid w:val="00773254"/>
    <w:rsid w:val="00781897"/>
    <w:rsid w:val="0078524E"/>
    <w:rsid w:val="007910E6"/>
    <w:rsid w:val="00793E27"/>
    <w:rsid w:val="007A0AC4"/>
    <w:rsid w:val="007A0CD1"/>
    <w:rsid w:val="007A37B7"/>
    <w:rsid w:val="007A7958"/>
    <w:rsid w:val="007B142C"/>
    <w:rsid w:val="007B2A14"/>
    <w:rsid w:val="007B36B3"/>
    <w:rsid w:val="007B4508"/>
    <w:rsid w:val="007B49B1"/>
    <w:rsid w:val="007B50F4"/>
    <w:rsid w:val="007C0B27"/>
    <w:rsid w:val="007C2AD8"/>
    <w:rsid w:val="007D49F1"/>
    <w:rsid w:val="007D62EE"/>
    <w:rsid w:val="007E0E02"/>
    <w:rsid w:val="007E15B2"/>
    <w:rsid w:val="007E6A31"/>
    <w:rsid w:val="007E7A1B"/>
    <w:rsid w:val="007F3FC0"/>
    <w:rsid w:val="007F4371"/>
    <w:rsid w:val="007F51C6"/>
    <w:rsid w:val="007F6E5C"/>
    <w:rsid w:val="0080494C"/>
    <w:rsid w:val="00811BA4"/>
    <w:rsid w:val="0081527F"/>
    <w:rsid w:val="00823893"/>
    <w:rsid w:val="008262E1"/>
    <w:rsid w:val="00827221"/>
    <w:rsid w:val="008274E7"/>
    <w:rsid w:val="00827F19"/>
    <w:rsid w:val="008303AC"/>
    <w:rsid w:val="0083290C"/>
    <w:rsid w:val="00834BDA"/>
    <w:rsid w:val="00840C0E"/>
    <w:rsid w:val="00841C66"/>
    <w:rsid w:val="008422B4"/>
    <w:rsid w:val="00845B6C"/>
    <w:rsid w:val="00857000"/>
    <w:rsid w:val="00860125"/>
    <w:rsid w:val="00870AFE"/>
    <w:rsid w:val="00872345"/>
    <w:rsid w:val="00874A40"/>
    <w:rsid w:val="00877621"/>
    <w:rsid w:val="00877743"/>
    <w:rsid w:val="0088001A"/>
    <w:rsid w:val="00881B76"/>
    <w:rsid w:val="00884908"/>
    <w:rsid w:val="008934C8"/>
    <w:rsid w:val="0089558D"/>
    <w:rsid w:val="008956AD"/>
    <w:rsid w:val="008972B0"/>
    <w:rsid w:val="008A1045"/>
    <w:rsid w:val="008A1FAD"/>
    <w:rsid w:val="008A7DD1"/>
    <w:rsid w:val="008B1814"/>
    <w:rsid w:val="008B4545"/>
    <w:rsid w:val="008B5087"/>
    <w:rsid w:val="008B51A2"/>
    <w:rsid w:val="008C13B5"/>
    <w:rsid w:val="008D13A1"/>
    <w:rsid w:val="008D506D"/>
    <w:rsid w:val="008D5F28"/>
    <w:rsid w:val="008D70EB"/>
    <w:rsid w:val="008D7C05"/>
    <w:rsid w:val="008E0C5B"/>
    <w:rsid w:val="008E208E"/>
    <w:rsid w:val="008F2A9C"/>
    <w:rsid w:val="008F4DAC"/>
    <w:rsid w:val="00901F8B"/>
    <w:rsid w:val="009041D8"/>
    <w:rsid w:val="00907A5F"/>
    <w:rsid w:val="00925326"/>
    <w:rsid w:val="0092664E"/>
    <w:rsid w:val="009372C3"/>
    <w:rsid w:val="00941238"/>
    <w:rsid w:val="00942C86"/>
    <w:rsid w:val="0094378B"/>
    <w:rsid w:val="00947B2D"/>
    <w:rsid w:val="00950426"/>
    <w:rsid w:val="00953855"/>
    <w:rsid w:val="009646E2"/>
    <w:rsid w:val="00965A33"/>
    <w:rsid w:val="009669E9"/>
    <w:rsid w:val="0096750C"/>
    <w:rsid w:val="00980741"/>
    <w:rsid w:val="009851BB"/>
    <w:rsid w:val="00990AE4"/>
    <w:rsid w:val="00993194"/>
    <w:rsid w:val="0099528B"/>
    <w:rsid w:val="00997E39"/>
    <w:rsid w:val="009A6C7B"/>
    <w:rsid w:val="009B1DB5"/>
    <w:rsid w:val="009B6D0B"/>
    <w:rsid w:val="009C4E81"/>
    <w:rsid w:val="009D2D85"/>
    <w:rsid w:val="009D420A"/>
    <w:rsid w:val="009D45C8"/>
    <w:rsid w:val="009E2094"/>
    <w:rsid w:val="009F1376"/>
    <w:rsid w:val="009F47F2"/>
    <w:rsid w:val="009F6C0A"/>
    <w:rsid w:val="00A00F6C"/>
    <w:rsid w:val="00A039C7"/>
    <w:rsid w:val="00A07661"/>
    <w:rsid w:val="00A10D6D"/>
    <w:rsid w:val="00A11A7B"/>
    <w:rsid w:val="00A135E5"/>
    <w:rsid w:val="00A16E29"/>
    <w:rsid w:val="00A20124"/>
    <w:rsid w:val="00A21C43"/>
    <w:rsid w:val="00A237AA"/>
    <w:rsid w:val="00A256D4"/>
    <w:rsid w:val="00A26E0D"/>
    <w:rsid w:val="00A3245B"/>
    <w:rsid w:val="00A32B0E"/>
    <w:rsid w:val="00A35FE5"/>
    <w:rsid w:val="00A5001E"/>
    <w:rsid w:val="00A512F4"/>
    <w:rsid w:val="00A53C58"/>
    <w:rsid w:val="00A54A80"/>
    <w:rsid w:val="00A55196"/>
    <w:rsid w:val="00A569F8"/>
    <w:rsid w:val="00A5728E"/>
    <w:rsid w:val="00A602A2"/>
    <w:rsid w:val="00A62469"/>
    <w:rsid w:val="00A650E1"/>
    <w:rsid w:val="00A73EEF"/>
    <w:rsid w:val="00A773EE"/>
    <w:rsid w:val="00A83FDB"/>
    <w:rsid w:val="00A87F1E"/>
    <w:rsid w:val="00A94AA3"/>
    <w:rsid w:val="00AB49C0"/>
    <w:rsid w:val="00AB72ED"/>
    <w:rsid w:val="00AC0BD1"/>
    <w:rsid w:val="00AC0C1B"/>
    <w:rsid w:val="00AC3C15"/>
    <w:rsid w:val="00AC6FB7"/>
    <w:rsid w:val="00AD176C"/>
    <w:rsid w:val="00AE455B"/>
    <w:rsid w:val="00AE471A"/>
    <w:rsid w:val="00AE472F"/>
    <w:rsid w:val="00AE4C08"/>
    <w:rsid w:val="00AE72D7"/>
    <w:rsid w:val="00AE762D"/>
    <w:rsid w:val="00AF038C"/>
    <w:rsid w:val="00AF0977"/>
    <w:rsid w:val="00AF427F"/>
    <w:rsid w:val="00AF52A6"/>
    <w:rsid w:val="00AF6489"/>
    <w:rsid w:val="00AF7C70"/>
    <w:rsid w:val="00B006A0"/>
    <w:rsid w:val="00B057ED"/>
    <w:rsid w:val="00B10CE2"/>
    <w:rsid w:val="00B1278C"/>
    <w:rsid w:val="00B23158"/>
    <w:rsid w:val="00B25F05"/>
    <w:rsid w:val="00B2664F"/>
    <w:rsid w:val="00B26849"/>
    <w:rsid w:val="00B40EC8"/>
    <w:rsid w:val="00B44413"/>
    <w:rsid w:val="00B4462B"/>
    <w:rsid w:val="00B44763"/>
    <w:rsid w:val="00B503B7"/>
    <w:rsid w:val="00B51286"/>
    <w:rsid w:val="00B5148D"/>
    <w:rsid w:val="00B60F32"/>
    <w:rsid w:val="00B62CF6"/>
    <w:rsid w:val="00B6330A"/>
    <w:rsid w:val="00B65897"/>
    <w:rsid w:val="00B732D5"/>
    <w:rsid w:val="00B77867"/>
    <w:rsid w:val="00B90CA1"/>
    <w:rsid w:val="00B94660"/>
    <w:rsid w:val="00B9746D"/>
    <w:rsid w:val="00BA2A89"/>
    <w:rsid w:val="00BA2F2D"/>
    <w:rsid w:val="00BA509E"/>
    <w:rsid w:val="00BB46F8"/>
    <w:rsid w:val="00BC0764"/>
    <w:rsid w:val="00BE567B"/>
    <w:rsid w:val="00BE61E2"/>
    <w:rsid w:val="00BF034D"/>
    <w:rsid w:val="00BF17ED"/>
    <w:rsid w:val="00BF19C3"/>
    <w:rsid w:val="00BF251F"/>
    <w:rsid w:val="00BF3EC1"/>
    <w:rsid w:val="00C0279B"/>
    <w:rsid w:val="00C05A04"/>
    <w:rsid w:val="00C1034E"/>
    <w:rsid w:val="00C1110E"/>
    <w:rsid w:val="00C22CF3"/>
    <w:rsid w:val="00C230B1"/>
    <w:rsid w:val="00C25942"/>
    <w:rsid w:val="00C265F9"/>
    <w:rsid w:val="00C279A5"/>
    <w:rsid w:val="00C30991"/>
    <w:rsid w:val="00C31151"/>
    <w:rsid w:val="00C3700C"/>
    <w:rsid w:val="00C40054"/>
    <w:rsid w:val="00C40A9D"/>
    <w:rsid w:val="00C42788"/>
    <w:rsid w:val="00C43210"/>
    <w:rsid w:val="00C439CD"/>
    <w:rsid w:val="00C43E9F"/>
    <w:rsid w:val="00C47341"/>
    <w:rsid w:val="00C478D8"/>
    <w:rsid w:val="00C47CEE"/>
    <w:rsid w:val="00C56B9B"/>
    <w:rsid w:val="00C56CEF"/>
    <w:rsid w:val="00C643BF"/>
    <w:rsid w:val="00C677FD"/>
    <w:rsid w:val="00C71821"/>
    <w:rsid w:val="00C71DDC"/>
    <w:rsid w:val="00C75F83"/>
    <w:rsid w:val="00C77F16"/>
    <w:rsid w:val="00C86114"/>
    <w:rsid w:val="00C86D13"/>
    <w:rsid w:val="00C86DD7"/>
    <w:rsid w:val="00C87AEF"/>
    <w:rsid w:val="00C93D73"/>
    <w:rsid w:val="00CA09A9"/>
    <w:rsid w:val="00CA10DE"/>
    <w:rsid w:val="00CA5EEA"/>
    <w:rsid w:val="00CB2695"/>
    <w:rsid w:val="00CB3A38"/>
    <w:rsid w:val="00CB5349"/>
    <w:rsid w:val="00CB55D9"/>
    <w:rsid w:val="00CC1D02"/>
    <w:rsid w:val="00CC46D1"/>
    <w:rsid w:val="00CE2B4A"/>
    <w:rsid w:val="00CF0F36"/>
    <w:rsid w:val="00CF15F3"/>
    <w:rsid w:val="00CF2180"/>
    <w:rsid w:val="00D01C88"/>
    <w:rsid w:val="00D04FC8"/>
    <w:rsid w:val="00D05621"/>
    <w:rsid w:val="00D07A1E"/>
    <w:rsid w:val="00D104A9"/>
    <w:rsid w:val="00D1209B"/>
    <w:rsid w:val="00D14096"/>
    <w:rsid w:val="00D27144"/>
    <w:rsid w:val="00D32BCE"/>
    <w:rsid w:val="00D3355B"/>
    <w:rsid w:val="00D35756"/>
    <w:rsid w:val="00D35AB3"/>
    <w:rsid w:val="00D362E1"/>
    <w:rsid w:val="00D44CAB"/>
    <w:rsid w:val="00D4525A"/>
    <w:rsid w:val="00D46B03"/>
    <w:rsid w:val="00D50EDB"/>
    <w:rsid w:val="00D511EB"/>
    <w:rsid w:val="00D605CC"/>
    <w:rsid w:val="00D6278B"/>
    <w:rsid w:val="00D62EAD"/>
    <w:rsid w:val="00D6507D"/>
    <w:rsid w:val="00D74D0D"/>
    <w:rsid w:val="00D816B7"/>
    <w:rsid w:val="00D86681"/>
    <w:rsid w:val="00D948DB"/>
    <w:rsid w:val="00DA46D6"/>
    <w:rsid w:val="00DA7292"/>
    <w:rsid w:val="00DB43ED"/>
    <w:rsid w:val="00DB786B"/>
    <w:rsid w:val="00DC3D71"/>
    <w:rsid w:val="00DD10DE"/>
    <w:rsid w:val="00DD1FDA"/>
    <w:rsid w:val="00DD590F"/>
    <w:rsid w:val="00DD7B06"/>
    <w:rsid w:val="00DE4612"/>
    <w:rsid w:val="00DF5F83"/>
    <w:rsid w:val="00E00094"/>
    <w:rsid w:val="00E01C55"/>
    <w:rsid w:val="00E01D9A"/>
    <w:rsid w:val="00E04C4E"/>
    <w:rsid w:val="00E06B71"/>
    <w:rsid w:val="00E107B2"/>
    <w:rsid w:val="00E17712"/>
    <w:rsid w:val="00E321B2"/>
    <w:rsid w:val="00E3795C"/>
    <w:rsid w:val="00E44A67"/>
    <w:rsid w:val="00E52438"/>
    <w:rsid w:val="00E54EF3"/>
    <w:rsid w:val="00E57C13"/>
    <w:rsid w:val="00E701FD"/>
    <w:rsid w:val="00E75018"/>
    <w:rsid w:val="00E84C4C"/>
    <w:rsid w:val="00E862BC"/>
    <w:rsid w:val="00E86983"/>
    <w:rsid w:val="00E90BEB"/>
    <w:rsid w:val="00E927A2"/>
    <w:rsid w:val="00E93114"/>
    <w:rsid w:val="00E93278"/>
    <w:rsid w:val="00E943BD"/>
    <w:rsid w:val="00E97564"/>
    <w:rsid w:val="00EA27B0"/>
    <w:rsid w:val="00EB065A"/>
    <w:rsid w:val="00EB7031"/>
    <w:rsid w:val="00ED36F8"/>
    <w:rsid w:val="00EE239C"/>
    <w:rsid w:val="00EE3BE1"/>
    <w:rsid w:val="00EE6DD0"/>
    <w:rsid w:val="00EF0BCC"/>
    <w:rsid w:val="00EF19EA"/>
    <w:rsid w:val="00EF215B"/>
    <w:rsid w:val="00F02827"/>
    <w:rsid w:val="00F039DC"/>
    <w:rsid w:val="00F04DB5"/>
    <w:rsid w:val="00F07222"/>
    <w:rsid w:val="00F109FE"/>
    <w:rsid w:val="00F13454"/>
    <w:rsid w:val="00F15EED"/>
    <w:rsid w:val="00F24AE6"/>
    <w:rsid w:val="00F3723A"/>
    <w:rsid w:val="00F42AB5"/>
    <w:rsid w:val="00F4657B"/>
    <w:rsid w:val="00F55140"/>
    <w:rsid w:val="00F55233"/>
    <w:rsid w:val="00F5681D"/>
    <w:rsid w:val="00F57758"/>
    <w:rsid w:val="00F61A68"/>
    <w:rsid w:val="00F62BFF"/>
    <w:rsid w:val="00F639DA"/>
    <w:rsid w:val="00F63D21"/>
    <w:rsid w:val="00F66A30"/>
    <w:rsid w:val="00F679B2"/>
    <w:rsid w:val="00F81813"/>
    <w:rsid w:val="00F845B3"/>
    <w:rsid w:val="00F85515"/>
    <w:rsid w:val="00F8685E"/>
    <w:rsid w:val="00F91CEE"/>
    <w:rsid w:val="00F91FD9"/>
    <w:rsid w:val="00F944C0"/>
    <w:rsid w:val="00F97D26"/>
    <w:rsid w:val="00FA26B5"/>
    <w:rsid w:val="00FA5E73"/>
    <w:rsid w:val="00FB011F"/>
    <w:rsid w:val="00FB3792"/>
    <w:rsid w:val="00FB55A9"/>
    <w:rsid w:val="00FB7F5E"/>
    <w:rsid w:val="00FC20B4"/>
    <w:rsid w:val="00FD4A82"/>
    <w:rsid w:val="00FD631C"/>
    <w:rsid w:val="00FE0196"/>
    <w:rsid w:val="00FE29DC"/>
    <w:rsid w:val="00FE4220"/>
    <w:rsid w:val="00FE4AB2"/>
    <w:rsid w:val="00FE5E2C"/>
    <w:rsid w:val="00FF2856"/>
    <w:rsid w:val="00FF6BFB"/>
    <w:rsid w:val="0128249C"/>
    <w:rsid w:val="01B62025"/>
    <w:rsid w:val="023D1F3B"/>
    <w:rsid w:val="041715DB"/>
    <w:rsid w:val="047E152B"/>
    <w:rsid w:val="05C46603"/>
    <w:rsid w:val="06C9637E"/>
    <w:rsid w:val="06ED479B"/>
    <w:rsid w:val="07694FEB"/>
    <w:rsid w:val="077668E4"/>
    <w:rsid w:val="08833B22"/>
    <w:rsid w:val="0887485B"/>
    <w:rsid w:val="08B60B0A"/>
    <w:rsid w:val="099D18B1"/>
    <w:rsid w:val="0A2E17F9"/>
    <w:rsid w:val="0A3E1EE8"/>
    <w:rsid w:val="0BD224A7"/>
    <w:rsid w:val="0C5C4A04"/>
    <w:rsid w:val="0C8C7B60"/>
    <w:rsid w:val="0CD02FB0"/>
    <w:rsid w:val="0CE013CA"/>
    <w:rsid w:val="0CE067E3"/>
    <w:rsid w:val="0CF86235"/>
    <w:rsid w:val="0D415A7C"/>
    <w:rsid w:val="0D486799"/>
    <w:rsid w:val="0D662306"/>
    <w:rsid w:val="0D9731E9"/>
    <w:rsid w:val="0DDE3D28"/>
    <w:rsid w:val="0E1C2936"/>
    <w:rsid w:val="0E241F41"/>
    <w:rsid w:val="0E3C421A"/>
    <w:rsid w:val="0EA346CA"/>
    <w:rsid w:val="0EBC6613"/>
    <w:rsid w:val="0F584FD0"/>
    <w:rsid w:val="0FAB16F5"/>
    <w:rsid w:val="0FC22B64"/>
    <w:rsid w:val="0FE82EA7"/>
    <w:rsid w:val="0FF82CC3"/>
    <w:rsid w:val="105772C0"/>
    <w:rsid w:val="105834E7"/>
    <w:rsid w:val="105F3B3E"/>
    <w:rsid w:val="10633709"/>
    <w:rsid w:val="110C3A4C"/>
    <w:rsid w:val="11373B83"/>
    <w:rsid w:val="116B60E0"/>
    <w:rsid w:val="12DB7D35"/>
    <w:rsid w:val="13643B48"/>
    <w:rsid w:val="13C22D3F"/>
    <w:rsid w:val="140C03C2"/>
    <w:rsid w:val="141672C3"/>
    <w:rsid w:val="146E76D6"/>
    <w:rsid w:val="14842552"/>
    <w:rsid w:val="14FE17BD"/>
    <w:rsid w:val="15406575"/>
    <w:rsid w:val="15AD6248"/>
    <w:rsid w:val="15DA48F8"/>
    <w:rsid w:val="164E3F7A"/>
    <w:rsid w:val="165D0A8E"/>
    <w:rsid w:val="16652F0D"/>
    <w:rsid w:val="16FE1420"/>
    <w:rsid w:val="1719707D"/>
    <w:rsid w:val="17332D27"/>
    <w:rsid w:val="176B7EB2"/>
    <w:rsid w:val="176D35F3"/>
    <w:rsid w:val="17BB7929"/>
    <w:rsid w:val="17FC56E3"/>
    <w:rsid w:val="1859506E"/>
    <w:rsid w:val="190364C6"/>
    <w:rsid w:val="19BA044B"/>
    <w:rsid w:val="1A477795"/>
    <w:rsid w:val="1A4C27DC"/>
    <w:rsid w:val="1A6274A4"/>
    <w:rsid w:val="1ADA2F5E"/>
    <w:rsid w:val="1B5379AB"/>
    <w:rsid w:val="1B9A60D2"/>
    <w:rsid w:val="1BC872C4"/>
    <w:rsid w:val="1C640474"/>
    <w:rsid w:val="1CB164AE"/>
    <w:rsid w:val="1CCB7CD1"/>
    <w:rsid w:val="1D3312C4"/>
    <w:rsid w:val="1D9B2767"/>
    <w:rsid w:val="1DA31C40"/>
    <w:rsid w:val="1E184E3E"/>
    <w:rsid w:val="1EB67173"/>
    <w:rsid w:val="1F603309"/>
    <w:rsid w:val="1FBC0EEE"/>
    <w:rsid w:val="208B2335"/>
    <w:rsid w:val="209B2609"/>
    <w:rsid w:val="20F070A1"/>
    <w:rsid w:val="20F14BC7"/>
    <w:rsid w:val="21144C37"/>
    <w:rsid w:val="216E2EA7"/>
    <w:rsid w:val="21797202"/>
    <w:rsid w:val="21842FEC"/>
    <w:rsid w:val="219E5618"/>
    <w:rsid w:val="21B26104"/>
    <w:rsid w:val="22037267"/>
    <w:rsid w:val="220F3ACA"/>
    <w:rsid w:val="2270518A"/>
    <w:rsid w:val="22716C16"/>
    <w:rsid w:val="23CA1427"/>
    <w:rsid w:val="24256F01"/>
    <w:rsid w:val="24277408"/>
    <w:rsid w:val="24623967"/>
    <w:rsid w:val="246F232F"/>
    <w:rsid w:val="248C70E1"/>
    <w:rsid w:val="25921EA6"/>
    <w:rsid w:val="25FF51D2"/>
    <w:rsid w:val="27677A5F"/>
    <w:rsid w:val="27AC26C4"/>
    <w:rsid w:val="2829057B"/>
    <w:rsid w:val="29714AF7"/>
    <w:rsid w:val="29871ED8"/>
    <w:rsid w:val="29AD4E71"/>
    <w:rsid w:val="2A0D09C7"/>
    <w:rsid w:val="2A9A14F0"/>
    <w:rsid w:val="2B7B59FB"/>
    <w:rsid w:val="2BD64BC5"/>
    <w:rsid w:val="2BE76B56"/>
    <w:rsid w:val="2C2F2C69"/>
    <w:rsid w:val="2C42707C"/>
    <w:rsid w:val="2C573430"/>
    <w:rsid w:val="2C65558A"/>
    <w:rsid w:val="2CDA7F22"/>
    <w:rsid w:val="2CF11024"/>
    <w:rsid w:val="2D310D90"/>
    <w:rsid w:val="2D3A663E"/>
    <w:rsid w:val="2D481A01"/>
    <w:rsid w:val="2E9B753D"/>
    <w:rsid w:val="2EFF1BC4"/>
    <w:rsid w:val="30840ED5"/>
    <w:rsid w:val="311C4760"/>
    <w:rsid w:val="31644F5C"/>
    <w:rsid w:val="31BF1262"/>
    <w:rsid w:val="31F1357D"/>
    <w:rsid w:val="32012B51"/>
    <w:rsid w:val="323629ED"/>
    <w:rsid w:val="32651207"/>
    <w:rsid w:val="32CE7041"/>
    <w:rsid w:val="32F65A1D"/>
    <w:rsid w:val="3326366D"/>
    <w:rsid w:val="34022683"/>
    <w:rsid w:val="34733E19"/>
    <w:rsid w:val="34AE0F94"/>
    <w:rsid w:val="34B1049E"/>
    <w:rsid w:val="35396863"/>
    <w:rsid w:val="358A4DA6"/>
    <w:rsid w:val="368821D0"/>
    <w:rsid w:val="36D37903"/>
    <w:rsid w:val="3743165A"/>
    <w:rsid w:val="38447F1F"/>
    <w:rsid w:val="39085B17"/>
    <w:rsid w:val="392805AC"/>
    <w:rsid w:val="395E23DF"/>
    <w:rsid w:val="398E452E"/>
    <w:rsid w:val="39B727F5"/>
    <w:rsid w:val="3A432E96"/>
    <w:rsid w:val="3A5A0149"/>
    <w:rsid w:val="3A8854B6"/>
    <w:rsid w:val="3B381D95"/>
    <w:rsid w:val="3B52718F"/>
    <w:rsid w:val="3BC26CD0"/>
    <w:rsid w:val="3BC85902"/>
    <w:rsid w:val="3BEF34C5"/>
    <w:rsid w:val="3CAD609F"/>
    <w:rsid w:val="3D8B2535"/>
    <w:rsid w:val="3E690C74"/>
    <w:rsid w:val="3EAA34F7"/>
    <w:rsid w:val="3EBD22FB"/>
    <w:rsid w:val="3EC544ED"/>
    <w:rsid w:val="3EE4739B"/>
    <w:rsid w:val="3F991B7E"/>
    <w:rsid w:val="40006360"/>
    <w:rsid w:val="40895DA6"/>
    <w:rsid w:val="40AD06B3"/>
    <w:rsid w:val="413451D5"/>
    <w:rsid w:val="415E40BE"/>
    <w:rsid w:val="41AE23E8"/>
    <w:rsid w:val="42511CE5"/>
    <w:rsid w:val="42B53279"/>
    <w:rsid w:val="435A7B31"/>
    <w:rsid w:val="437C50D1"/>
    <w:rsid w:val="43963DC9"/>
    <w:rsid w:val="43F7797A"/>
    <w:rsid w:val="442E2A1E"/>
    <w:rsid w:val="443913FD"/>
    <w:rsid w:val="44692F00"/>
    <w:rsid w:val="44BC5C62"/>
    <w:rsid w:val="450B0825"/>
    <w:rsid w:val="4522684F"/>
    <w:rsid w:val="452338B5"/>
    <w:rsid w:val="458D66BC"/>
    <w:rsid w:val="45967968"/>
    <w:rsid w:val="460D29FF"/>
    <w:rsid w:val="46151679"/>
    <w:rsid w:val="46864A19"/>
    <w:rsid w:val="46997422"/>
    <w:rsid w:val="47647D42"/>
    <w:rsid w:val="47D35CCB"/>
    <w:rsid w:val="480E6ECF"/>
    <w:rsid w:val="4827425D"/>
    <w:rsid w:val="484E4529"/>
    <w:rsid w:val="489E0CFF"/>
    <w:rsid w:val="49880A43"/>
    <w:rsid w:val="49880F43"/>
    <w:rsid w:val="49EA4E39"/>
    <w:rsid w:val="4AAE7501"/>
    <w:rsid w:val="4AD66A58"/>
    <w:rsid w:val="4AE97C1C"/>
    <w:rsid w:val="4B146967"/>
    <w:rsid w:val="4BB807AA"/>
    <w:rsid w:val="4C3C18FD"/>
    <w:rsid w:val="4C58377B"/>
    <w:rsid w:val="4DBB20BF"/>
    <w:rsid w:val="4DF56D48"/>
    <w:rsid w:val="4E232F1B"/>
    <w:rsid w:val="4E6F2A52"/>
    <w:rsid w:val="4EB55B91"/>
    <w:rsid w:val="4EB6209C"/>
    <w:rsid w:val="4F647088"/>
    <w:rsid w:val="4F916654"/>
    <w:rsid w:val="4FA43685"/>
    <w:rsid w:val="4FD86A20"/>
    <w:rsid w:val="50886507"/>
    <w:rsid w:val="50CB08F0"/>
    <w:rsid w:val="50CD6806"/>
    <w:rsid w:val="50EB0DF9"/>
    <w:rsid w:val="514176FB"/>
    <w:rsid w:val="518A4E62"/>
    <w:rsid w:val="521B31B0"/>
    <w:rsid w:val="52335076"/>
    <w:rsid w:val="52C00B21"/>
    <w:rsid w:val="52CA319D"/>
    <w:rsid w:val="52EE02E6"/>
    <w:rsid w:val="53A223C2"/>
    <w:rsid w:val="545455E7"/>
    <w:rsid w:val="551B42ED"/>
    <w:rsid w:val="55420714"/>
    <w:rsid w:val="554D1D6E"/>
    <w:rsid w:val="55E97435"/>
    <w:rsid w:val="55F1426D"/>
    <w:rsid w:val="57171A31"/>
    <w:rsid w:val="57760658"/>
    <w:rsid w:val="5782697D"/>
    <w:rsid w:val="58215B01"/>
    <w:rsid w:val="58740619"/>
    <w:rsid w:val="58D03C5A"/>
    <w:rsid w:val="59703618"/>
    <w:rsid w:val="59A95D67"/>
    <w:rsid w:val="5AAB2D31"/>
    <w:rsid w:val="5ABA3CE7"/>
    <w:rsid w:val="5AD012E5"/>
    <w:rsid w:val="5ADD0CA1"/>
    <w:rsid w:val="5BE302F4"/>
    <w:rsid w:val="5C445C76"/>
    <w:rsid w:val="5C88446E"/>
    <w:rsid w:val="5D1A38A9"/>
    <w:rsid w:val="5D7D3B16"/>
    <w:rsid w:val="5DF00BA0"/>
    <w:rsid w:val="5E0A2849"/>
    <w:rsid w:val="5E2B2568"/>
    <w:rsid w:val="5E412F34"/>
    <w:rsid w:val="5F166322"/>
    <w:rsid w:val="606E7BE7"/>
    <w:rsid w:val="60A068F3"/>
    <w:rsid w:val="60DA0CD8"/>
    <w:rsid w:val="61EF41DA"/>
    <w:rsid w:val="629E1DC8"/>
    <w:rsid w:val="62CA6F20"/>
    <w:rsid w:val="62E25433"/>
    <w:rsid w:val="63340849"/>
    <w:rsid w:val="638E1561"/>
    <w:rsid w:val="63F41FD1"/>
    <w:rsid w:val="646A31DA"/>
    <w:rsid w:val="64F124AA"/>
    <w:rsid w:val="65374CC8"/>
    <w:rsid w:val="65767B4E"/>
    <w:rsid w:val="65E816C2"/>
    <w:rsid w:val="660E49DF"/>
    <w:rsid w:val="66393614"/>
    <w:rsid w:val="666030F7"/>
    <w:rsid w:val="66DE72A6"/>
    <w:rsid w:val="66E321C6"/>
    <w:rsid w:val="67243C53"/>
    <w:rsid w:val="685929DA"/>
    <w:rsid w:val="68B5641D"/>
    <w:rsid w:val="68D74EB3"/>
    <w:rsid w:val="693A790A"/>
    <w:rsid w:val="69450C7B"/>
    <w:rsid w:val="69883B86"/>
    <w:rsid w:val="698A2836"/>
    <w:rsid w:val="69C37312"/>
    <w:rsid w:val="69F8621B"/>
    <w:rsid w:val="6A330056"/>
    <w:rsid w:val="6A900F28"/>
    <w:rsid w:val="6AA43FE7"/>
    <w:rsid w:val="6B171B1F"/>
    <w:rsid w:val="6B5C30CD"/>
    <w:rsid w:val="6B656442"/>
    <w:rsid w:val="6B8805E7"/>
    <w:rsid w:val="6C161BE7"/>
    <w:rsid w:val="6C686A25"/>
    <w:rsid w:val="6CB30D75"/>
    <w:rsid w:val="6D6E18CF"/>
    <w:rsid w:val="6D87112D"/>
    <w:rsid w:val="6E62046F"/>
    <w:rsid w:val="6E6459A7"/>
    <w:rsid w:val="6FB754C6"/>
    <w:rsid w:val="6FDF78DB"/>
    <w:rsid w:val="7002221D"/>
    <w:rsid w:val="705D6643"/>
    <w:rsid w:val="70F911BC"/>
    <w:rsid w:val="71826BEB"/>
    <w:rsid w:val="72037FFE"/>
    <w:rsid w:val="72B45874"/>
    <w:rsid w:val="72DC671E"/>
    <w:rsid w:val="735B75D3"/>
    <w:rsid w:val="74A7245B"/>
    <w:rsid w:val="74EB114E"/>
    <w:rsid w:val="75CC78E3"/>
    <w:rsid w:val="76202A94"/>
    <w:rsid w:val="762B2215"/>
    <w:rsid w:val="76F14C2A"/>
    <w:rsid w:val="77212C2B"/>
    <w:rsid w:val="777D20D6"/>
    <w:rsid w:val="77F55A6C"/>
    <w:rsid w:val="780A3E34"/>
    <w:rsid w:val="785618CD"/>
    <w:rsid w:val="78805F85"/>
    <w:rsid w:val="788A51FB"/>
    <w:rsid w:val="78986BAF"/>
    <w:rsid w:val="79295E21"/>
    <w:rsid w:val="79344DEB"/>
    <w:rsid w:val="7997550A"/>
    <w:rsid w:val="79B17BA8"/>
    <w:rsid w:val="79C52542"/>
    <w:rsid w:val="7A3E3CB4"/>
    <w:rsid w:val="7AAD28C7"/>
    <w:rsid w:val="7B1225EB"/>
    <w:rsid w:val="7B5D6481"/>
    <w:rsid w:val="7B647093"/>
    <w:rsid w:val="7B8D6180"/>
    <w:rsid w:val="7BD9024A"/>
    <w:rsid w:val="7C30564F"/>
    <w:rsid w:val="7D7E4CD2"/>
    <w:rsid w:val="7DB67F30"/>
    <w:rsid w:val="7E36223B"/>
    <w:rsid w:val="7EB919F5"/>
    <w:rsid w:val="7EBE477F"/>
    <w:rsid w:val="7ED50C94"/>
    <w:rsid w:val="7EE10157"/>
    <w:rsid w:val="7F1B1F59"/>
    <w:rsid w:val="7F357759"/>
    <w:rsid w:val="7F7A393A"/>
    <w:rsid w:val="7FDF75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qFormat="1" w:uiPriority="99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napToGrid w:val="0"/>
      <w:spacing w:line="360" w:lineRule="auto"/>
      <w:ind w:firstLine="480"/>
      <w:jc w:val="both"/>
    </w:pPr>
    <w:rPr>
      <w:rFonts w:ascii="Times New Roman" w:hAnsi="Times New Roman" w:eastAsia="宋体" w:cs="Times New Roman"/>
      <w:sz w:val="24"/>
      <w:szCs w:val="24"/>
      <w:u w:val="single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widowControl w:val="0"/>
      <w:tabs>
        <w:tab w:val="left" w:pos="210"/>
      </w:tabs>
      <w:spacing w:before="340" w:after="330" w:line="576" w:lineRule="auto"/>
      <w:jc w:val="center"/>
      <w:outlineLvl w:val="0"/>
    </w:pPr>
    <w:rPr>
      <w:rFonts w:ascii="Times New Roman" w:hAnsi="Times New Roman" w:eastAsia="Times New Roman" w:cs="Times New Roman"/>
      <w:b/>
      <w:bCs/>
      <w:color w:val="000000"/>
      <w:kern w:val="44"/>
      <w:sz w:val="44"/>
      <w:szCs w:val="44"/>
      <w:lang w:val="en-US" w:eastAsia="zh-CN" w:bidi="ar-SA"/>
    </w:rPr>
  </w:style>
  <w:style w:type="paragraph" w:styleId="4">
    <w:name w:val="heading 2"/>
    <w:next w:val="5"/>
    <w:qFormat/>
    <w:uiPriority w:val="0"/>
    <w:pPr>
      <w:keepNext/>
      <w:keepLines/>
      <w:widowControl w:val="0"/>
      <w:spacing w:line="360" w:lineRule="auto"/>
      <w:jc w:val="both"/>
      <w:outlineLvl w:val="1"/>
    </w:pPr>
    <w:rPr>
      <w:rFonts w:ascii="Arial" w:hAnsi="Arial" w:eastAsia="宋体" w:cs="Arial"/>
      <w:b/>
      <w:bCs/>
      <w:color w:val="000000"/>
      <w:kern w:val="2"/>
      <w:sz w:val="24"/>
      <w:szCs w:val="32"/>
      <w:lang w:val="en-US" w:eastAsia="zh-CN" w:bidi="ar-SA"/>
    </w:rPr>
  </w:style>
  <w:style w:type="paragraph" w:styleId="6">
    <w:name w:val="heading 3"/>
    <w:basedOn w:val="1"/>
    <w:next w:val="1"/>
    <w:link w:val="37"/>
    <w:qFormat/>
    <w:uiPriority w:val="9"/>
    <w:pPr>
      <w:keepNext/>
      <w:keepLines/>
      <w:spacing w:before="260" w:after="260" w:line="416" w:lineRule="auto"/>
      <w:ind w:left="420" w:hanging="420"/>
      <w:outlineLvl w:val="2"/>
    </w:pPr>
    <w:rPr>
      <w:b/>
      <w:bCs/>
      <w:sz w:val="32"/>
      <w:szCs w:val="32"/>
    </w:rPr>
  </w:style>
  <w:style w:type="paragraph" w:styleId="7">
    <w:name w:val="heading 4"/>
    <w:basedOn w:val="1"/>
    <w:next w:val="1"/>
    <w:link w:val="38"/>
    <w:qFormat/>
    <w:uiPriority w:val="9"/>
    <w:pPr>
      <w:keepNext/>
      <w:keepLines/>
      <w:spacing w:before="280" w:after="290" w:line="376" w:lineRule="auto"/>
      <w:ind w:left="420" w:hanging="420"/>
      <w:outlineLvl w:val="3"/>
    </w:pPr>
    <w:rPr>
      <w:rFonts w:ascii="Helvetica" w:hAnsi="Helvetica"/>
      <w:b/>
      <w:bCs/>
      <w:sz w:val="28"/>
      <w:szCs w:val="28"/>
    </w:rPr>
  </w:style>
  <w:style w:type="character" w:default="1" w:styleId="25">
    <w:name w:val="Default Paragraph Font"/>
    <w:unhideWhenUsed/>
    <w:qFormat/>
    <w:uiPriority w:val="1"/>
  </w:style>
  <w:style w:type="table" w:default="1" w:styleId="2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</w:style>
  <w:style w:type="paragraph" w:customStyle="1" w:styleId="5">
    <w:name w:val="正文 A"/>
    <w:qFormat/>
    <w:uiPriority w:val="0"/>
    <w:pPr>
      <w:widowControl w:val="0"/>
      <w:jc w:val="both"/>
    </w:pPr>
    <w:rPr>
      <w:rFonts w:ascii="Times New Roman" w:hAnsi="Times New Roman" w:eastAsia="Times New Roman" w:cs="Times New Roman"/>
      <w:color w:val="000000"/>
      <w:kern w:val="2"/>
      <w:sz w:val="21"/>
      <w:szCs w:val="21"/>
      <w:lang w:val="en-US" w:eastAsia="zh-CN" w:bidi="ar-SA"/>
    </w:rPr>
  </w:style>
  <w:style w:type="paragraph" w:styleId="8">
    <w:name w:val="annotation subject"/>
    <w:basedOn w:val="9"/>
    <w:next w:val="9"/>
    <w:link w:val="42"/>
    <w:unhideWhenUsed/>
    <w:qFormat/>
    <w:uiPriority w:val="99"/>
    <w:rPr>
      <w:b/>
      <w:bCs/>
    </w:rPr>
  </w:style>
  <w:style w:type="paragraph" w:styleId="9">
    <w:name w:val="annotation text"/>
    <w:basedOn w:val="1"/>
    <w:link w:val="41"/>
    <w:unhideWhenUsed/>
    <w:qFormat/>
    <w:uiPriority w:val="99"/>
  </w:style>
  <w:style w:type="paragraph" w:styleId="10">
    <w:name w:val="toc 7"/>
    <w:basedOn w:val="1"/>
    <w:next w:val="1"/>
    <w:unhideWhenUsed/>
    <w:qFormat/>
    <w:uiPriority w:val="39"/>
    <w:pPr>
      <w:ind w:left="2520" w:leftChars="1200"/>
    </w:pPr>
  </w:style>
  <w:style w:type="paragraph" w:styleId="11">
    <w:name w:val="toc 5"/>
    <w:basedOn w:val="1"/>
    <w:next w:val="1"/>
    <w:unhideWhenUsed/>
    <w:qFormat/>
    <w:uiPriority w:val="39"/>
    <w:pPr>
      <w:ind w:left="1680" w:leftChars="800"/>
    </w:pPr>
  </w:style>
  <w:style w:type="paragraph" w:styleId="12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3">
    <w:name w:val="toc 8"/>
    <w:basedOn w:val="1"/>
    <w:next w:val="1"/>
    <w:unhideWhenUsed/>
    <w:qFormat/>
    <w:uiPriority w:val="39"/>
    <w:pPr>
      <w:ind w:left="2940" w:leftChars="1400"/>
    </w:pPr>
  </w:style>
  <w:style w:type="paragraph" w:styleId="14">
    <w:name w:val="Date"/>
    <w:basedOn w:val="1"/>
    <w:next w:val="1"/>
    <w:link w:val="44"/>
    <w:unhideWhenUsed/>
    <w:qFormat/>
    <w:uiPriority w:val="99"/>
    <w:pPr>
      <w:ind w:left="100" w:leftChars="2500"/>
    </w:pPr>
  </w:style>
  <w:style w:type="paragraph" w:styleId="15">
    <w:name w:val="Balloon Text"/>
    <w:basedOn w:val="1"/>
    <w:link w:val="40"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43"/>
    <w:qFormat/>
    <w:uiPriority w:val="99"/>
    <w:pPr>
      <w:tabs>
        <w:tab w:val="center" w:pos="4153"/>
        <w:tab w:val="right" w:pos="8306"/>
      </w:tabs>
    </w:pPr>
    <w:rPr>
      <w:rFonts w:eastAsia="Arial Unicode MS" w:cs="Arial Unicode MS"/>
      <w:color w:val="000000"/>
      <w:kern w:val="2"/>
      <w:sz w:val="18"/>
      <w:szCs w:val="18"/>
    </w:rPr>
  </w:style>
  <w:style w:type="paragraph" w:styleId="17">
    <w:name w:val="header"/>
    <w:basedOn w:val="1"/>
    <w:link w:val="3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8">
    <w:name w:val="toc 1"/>
    <w:basedOn w:val="1"/>
    <w:next w:val="1"/>
    <w:qFormat/>
    <w:uiPriority w:val="39"/>
  </w:style>
  <w:style w:type="paragraph" w:styleId="19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20">
    <w:name w:val="toc 6"/>
    <w:basedOn w:val="1"/>
    <w:next w:val="1"/>
    <w:unhideWhenUsed/>
    <w:qFormat/>
    <w:uiPriority w:val="39"/>
    <w:pPr>
      <w:ind w:left="2100" w:leftChars="1000"/>
    </w:pPr>
  </w:style>
  <w:style w:type="paragraph" w:styleId="21">
    <w:name w:val="Body Text Indent 3"/>
    <w:qFormat/>
    <w:uiPriority w:val="0"/>
    <w:pPr>
      <w:widowControl w:val="0"/>
      <w:tabs>
        <w:tab w:val="left" w:pos="820"/>
      </w:tabs>
      <w:spacing w:line="440" w:lineRule="atLeast"/>
      <w:ind w:firstLine="460"/>
      <w:jc w:val="both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22">
    <w:name w:val="toc 2"/>
    <w:basedOn w:val="1"/>
    <w:next w:val="1"/>
    <w:qFormat/>
    <w:uiPriority w:val="39"/>
    <w:pPr>
      <w:ind w:left="420" w:leftChars="200"/>
    </w:pPr>
  </w:style>
  <w:style w:type="paragraph" w:styleId="23">
    <w:name w:val="toc 9"/>
    <w:basedOn w:val="1"/>
    <w:next w:val="1"/>
    <w:unhideWhenUsed/>
    <w:qFormat/>
    <w:uiPriority w:val="39"/>
    <w:pPr>
      <w:ind w:left="3360" w:leftChars="1600"/>
    </w:pPr>
  </w:style>
  <w:style w:type="paragraph" w:styleId="24">
    <w:name w:val="Normal (Web)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4"/>
      <w:szCs w:val="24"/>
      <w:lang w:val="en-US" w:eastAsia="zh-CN" w:bidi="ar-SA"/>
    </w:rPr>
  </w:style>
  <w:style w:type="character" w:styleId="26">
    <w:name w:val="page number"/>
    <w:basedOn w:val="25"/>
    <w:qFormat/>
    <w:uiPriority w:val="0"/>
    <w:rPr>
      <w:lang w:val="zh-TW" w:eastAsia="zh-TW"/>
    </w:rPr>
  </w:style>
  <w:style w:type="character" w:styleId="27">
    <w:name w:val="Hyperlink"/>
    <w:qFormat/>
    <w:uiPriority w:val="99"/>
    <w:rPr>
      <w:u w:val="single"/>
    </w:rPr>
  </w:style>
  <w:style w:type="character" w:styleId="28">
    <w:name w:val="annotation reference"/>
    <w:basedOn w:val="25"/>
    <w:unhideWhenUsed/>
    <w:qFormat/>
    <w:uiPriority w:val="99"/>
    <w:rPr>
      <w:sz w:val="21"/>
      <w:szCs w:val="21"/>
    </w:rPr>
  </w:style>
  <w:style w:type="table" w:styleId="30">
    <w:name w:val="Table Grid"/>
    <w:basedOn w:val="2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1">
    <w:name w:val="页眉与页脚"/>
    <w:qFormat/>
    <w:uiPriority w:val="0"/>
    <w:pPr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32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3">
    <w:name w:val="正文 A A"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lang w:val="en-US" w:eastAsia="zh-CN" w:bidi="ar-SA"/>
    </w:rPr>
  </w:style>
  <w:style w:type="paragraph" w:customStyle="1" w:styleId="34">
    <w:name w:val="TOC 标题1"/>
    <w:basedOn w:val="3"/>
    <w:next w:val="1"/>
    <w:unhideWhenUsed/>
    <w:qFormat/>
    <w:uiPriority w:val="39"/>
    <w:pPr>
      <w:widowControl/>
      <w:tabs>
        <w:tab w:val="clear" w:pos="210"/>
      </w:tabs>
      <w:spacing w:before="480" w:after="0" w:line="276" w:lineRule="auto"/>
      <w:jc w:val="left"/>
      <w:outlineLvl w:val="9"/>
    </w:pPr>
    <w:rPr>
      <w:rFonts w:ascii="Cambria" w:hAnsi="Cambria" w:eastAsia="宋体" w:cs="黑体"/>
      <w:color w:val="365F90"/>
      <w:kern w:val="0"/>
      <w:sz w:val="28"/>
      <w:szCs w:val="28"/>
    </w:rPr>
  </w:style>
  <w:style w:type="paragraph" w:customStyle="1" w:styleId="3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36">
    <w:name w:val="TOC 标题2"/>
    <w:basedOn w:val="3"/>
    <w:next w:val="1"/>
    <w:unhideWhenUsed/>
    <w:qFormat/>
    <w:uiPriority w:val="39"/>
    <w:pPr>
      <w:widowControl/>
      <w:tabs>
        <w:tab w:val="clear" w:pos="210"/>
      </w:tabs>
      <w:spacing w:before="480" w:after="0" w:line="276" w:lineRule="auto"/>
      <w:jc w:val="left"/>
      <w:outlineLvl w:val="9"/>
    </w:pPr>
    <w:rPr>
      <w:rFonts w:ascii="Cambria" w:hAnsi="Cambria" w:eastAsia="宋体" w:cs="黑体"/>
      <w:color w:val="365F90"/>
      <w:kern w:val="0"/>
      <w:sz w:val="28"/>
      <w:szCs w:val="28"/>
    </w:rPr>
  </w:style>
  <w:style w:type="character" w:customStyle="1" w:styleId="37">
    <w:name w:val="标题 3 Char"/>
    <w:basedOn w:val="25"/>
    <w:link w:val="6"/>
    <w:qFormat/>
    <w:uiPriority w:val="9"/>
    <w:rPr>
      <w:b/>
      <w:bCs/>
      <w:sz w:val="32"/>
      <w:szCs w:val="32"/>
      <w:lang w:eastAsia="en-US"/>
    </w:rPr>
  </w:style>
  <w:style w:type="character" w:customStyle="1" w:styleId="38">
    <w:name w:val="标题 4 Char"/>
    <w:basedOn w:val="25"/>
    <w:link w:val="7"/>
    <w:qFormat/>
    <w:uiPriority w:val="9"/>
    <w:rPr>
      <w:rFonts w:ascii="Helvetica" w:hAnsi="Helvetica"/>
      <w:b/>
      <w:bCs/>
      <w:sz w:val="28"/>
      <w:szCs w:val="28"/>
      <w:lang w:eastAsia="en-US"/>
    </w:rPr>
  </w:style>
  <w:style w:type="character" w:customStyle="1" w:styleId="39">
    <w:name w:val="页眉 Char"/>
    <w:basedOn w:val="25"/>
    <w:link w:val="17"/>
    <w:qFormat/>
    <w:uiPriority w:val="99"/>
    <w:rPr>
      <w:sz w:val="18"/>
      <w:szCs w:val="18"/>
      <w:lang w:eastAsia="en-US"/>
    </w:rPr>
  </w:style>
  <w:style w:type="character" w:customStyle="1" w:styleId="40">
    <w:name w:val="批注框文本 Char"/>
    <w:basedOn w:val="25"/>
    <w:link w:val="15"/>
    <w:semiHidden/>
    <w:qFormat/>
    <w:uiPriority w:val="99"/>
    <w:rPr>
      <w:sz w:val="18"/>
      <w:szCs w:val="18"/>
      <w:lang w:eastAsia="en-US"/>
    </w:rPr>
  </w:style>
  <w:style w:type="character" w:customStyle="1" w:styleId="41">
    <w:name w:val="批注文字 Char"/>
    <w:basedOn w:val="25"/>
    <w:link w:val="9"/>
    <w:qFormat/>
    <w:uiPriority w:val="99"/>
    <w:rPr>
      <w:sz w:val="24"/>
      <w:szCs w:val="24"/>
      <w:lang w:eastAsia="en-US"/>
    </w:rPr>
  </w:style>
  <w:style w:type="character" w:customStyle="1" w:styleId="42">
    <w:name w:val="批注主题 Char"/>
    <w:basedOn w:val="41"/>
    <w:link w:val="8"/>
    <w:qFormat/>
    <w:uiPriority w:val="0"/>
    <w:rPr>
      <w:sz w:val="24"/>
      <w:szCs w:val="24"/>
      <w:lang w:eastAsia="en-US"/>
    </w:rPr>
  </w:style>
  <w:style w:type="character" w:customStyle="1" w:styleId="43">
    <w:name w:val="页脚 Char"/>
    <w:basedOn w:val="25"/>
    <w:link w:val="16"/>
    <w:qFormat/>
    <w:uiPriority w:val="99"/>
    <w:rPr>
      <w:rFonts w:eastAsia="Arial Unicode MS" w:cs="Arial Unicode MS"/>
      <w:color w:val="000000"/>
      <w:kern w:val="2"/>
      <w:sz w:val="18"/>
      <w:szCs w:val="18"/>
      <w:u w:val="single"/>
    </w:rPr>
  </w:style>
  <w:style w:type="character" w:customStyle="1" w:styleId="44">
    <w:name w:val="日期 Char"/>
    <w:basedOn w:val="25"/>
    <w:link w:val="14"/>
    <w:semiHidden/>
    <w:qFormat/>
    <w:uiPriority w:val="99"/>
    <w:rPr>
      <w:sz w:val="24"/>
      <w:szCs w:val="24"/>
      <w:u w:val="single"/>
    </w:rPr>
  </w:style>
  <w:style w:type="table" w:customStyle="1" w:styleId="45">
    <w:name w:val="Table 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9124</Words>
  <Characters>9596</Characters>
  <Lines>88</Lines>
  <Paragraphs>24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2017-08-30T01:15:00Z</dcterms:created>
  <dc:creator>Administrator</dc:creator>
  <cp:lastModifiedBy>张宇</cp:lastModifiedBy>
  <cp:lastPrinted>2021-05-11T06:09:00Z</cp:lastPrinted>
  <dcterms:modified xsi:type="dcterms:W3CDTF">2026-01-28T01:14:50Z</dcterms:modified>
  <dc:title>太原重工股份有限公司招标文件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6170DAA1325545C9BA5718DF18C099B4</vt:lpwstr>
  </property>
</Properties>
</file>